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A14CE" w14:textId="77777777" w:rsidR="00E524D6" w:rsidRPr="002456E9" w:rsidRDefault="00E524D6" w:rsidP="00ED1A18">
      <w:pPr>
        <w:autoSpaceDE w:val="0"/>
        <w:autoSpaceDN w:val="0"/>
        <w:adjustRightInd w:val="0"/>
        <w:spacing w:after="0" w:line="240" w:lineRule="auto"/>
        <w:jc w:val="center"/>
        <w:rPr>
          <w:b/>
          <w:caps/>
          <w:sz w:val="28"/>
        </w:rPr>
      </w:pPr>
      <w:r w:rsidRPr="002456E9">
        <w:rPr>
          <w:b/>
          <w:caps/>
          <w:sz w:val="28"/>
        </w:rPr>
        <w:t>e</w:t>
      </w:r>
      <w:r w:rsidR="009A191A" w:rsidRPr="002456E9">
        <w:rPr>
          <w:b/>
          <w:caps/>
          <w:sz w:val="28"/>
        </w:rPr>
        <w:t xml:space="preserve">nvironmental </w:t>
      </w:r>
      <w:r w:rsidRPr="002456E9">
        <w:rPr>
          <w:b/>
          <w:caps/>
          <w:sz w:val="28"/>
        </w:rPr>
        <w:t>c</w:t>
      </w:r>
      <w:r w:rsidR="009A191A" w:rsidRPr="002456E9">
        <w:rPr>
          <w:b/>
          <w:caps/>
          <w:sz w:val="28"/>
        </w:rPr>
        <w:t xml:space="preserve">ollaboration and </w:t>
      </w:r>
      <w:r w:rsidRPr="002456E9">
        <w:rPr>
          <w:b/>
          <w:caps/>
          <w:sz w:val="28"/>
        </w:rPr>
        <w:t>c</w:t>
      </w:r>
      <w:r w:rsidR="009A191A" w:rsidRPr="002456E9">
        <w:rPr>
          <w:b/>
          <w:caps/>
          <w:sz w:val="28"/>
        </w:rPr>
        <w:t xml:space="preserve">onflict </w:t>
      </w:r>
      <w:r w:rsidRPr="002456E9">
        <w:rPr>
          <w:b/>
          <w:caps/>
          <w:sz w:val="28"/>
        </w:rPr>
        <w:t>r</w:t>
      </w:r>
      <w:r w:rsidR="009A191A" w:rsidRPr="002456E9">
        <w:rPr>
          <w:b/>
          <w:caps/>
          <w:sz w:val="28"/>
        </w:rPr>
        <w:t>esolution (</w:t>
      </w:r>
      <w:r w:rsidRPr="002456E9">
        <w:rPr>
          <w:b/>
          <w:caps/>
          <w:sz w:val="28"/>
        </w:rPr>
        <w:t>eccr</w:t>
      </w:r>
      <w:r w:rsidR="009A191A" w:rsidRPr="002456E9">
        <w:rPr>
          <w:b/>
          <w:caps/>
          <w:sz w:val="28"/>
        </w:rPr>
        <w:t xml:space="preserve">) </w:t>
      </w:r>
    </w:p>
    <w:p w14:paraId="406D042B" w14:textId="77777777" w:rsidR="009A191A" w:rsidRPr="002456E9" w:rsidRDefault="009A191A" w:rsidP="00E524D6">
      <w:pPr>
        <w:autoSpaceDE w:val="0"/>
        <w:autoSpaceDN w:val="0"/>
        <w:adjustRightInd w:val="0"/>
        <w:spacing w:after="0" w:line="240" w:lineRule="auto"/>
        <w:ind w:left="-144" w:right="-144"/>
        <w:jc w:val="center"/>
        <w:rPr>
          <w:b/>
          <w:caps/>
          <w:sz w:val="28"/>
        </w:rPr>
      </w:pPr>
      <w:r w:rsidRPr="002456E9">
        <w:rPr>
          <w:b/>
          <w:caps/>
          <w:sz w:val="28"/>
        </w:rPr>
        <w:t xml:space="preserve">in the </w:t>
      </w:r>
      <w:r w:rsidR="00E524D6" w:rsidRPr="002456E9">
        <w:rPr>
          <w:b/>
          <w:caps/>
          <w:sz w:val="28"/>
        </w:rPr>
        <w:t>f</w:t>
      </w:r>
      <w:r w:rsidRPr="002456E9">
        <w:rPr>
          <w:b/>
          <w:caps/>
          <w:sz w:val="28"/>
        </w:rPr>
        <w:t xml:space="preserve">ederal </w:t>
      </w:r>
      <w:r w:rsidR="00E524D6" w:rsidRPr="002456E9">
        <w:rPr>
          <w:b/>
          <w:caps/>
          <w:sz w:val="28"/>
        </w:rPr>
        <w:t>g</w:t>
      </w:r>
      <w:r w:rsidRPr="002456E9">
        <w:rPr>
          <w:b/>
          <w:caps/>
          <w:sz w:val="28"/>
        </w:rPr>
        <w:t xml:space="preserve">overnment </w:t>
      </w:r>
    </w:p>
    <w:p w14:paraId="3145BD97" w14:textId="72B714C1" w:rsidR="009A191A" w:rsidRPr="000E194E" w:rsidRDefault="00FE308A" w:rsidP="002456E9">
      <w:pPr>
        <w:autoSpaceDE w:val="0"/>
        <w:autoSpaceDN w:val="0"/>
        <w:adjustRightInd w:val="0"/>
        <w:spacing w:before="120" w:after="120" w:line="260" w:lineRule="exact"/>
        <w:jc w:val="center"/>
        <w:rPr>
          <w:b/>
        </w:rPr>
      </w:pPr>
      <w:r w:rsidRPr="000E194E">
        <w:rPr>
          <w:b/>
        </w:rPr>
        <w:t xml:space="preserve">Synthesis </w:t>
      </w:r>
      <w:r w:rsidR="009A191A" w:rsidRPr="000E194E">
        <w:rPr>
          <w:b/>
        </w:rPr>
        <w:t>of FY 201</w:t>
      </w:r>
      <w:r w:rsidR="00913D0C">
        <w:rPr>
          <w:b/>
        </w:rPr>
        <w:t>6</w:t>
      </w:r>
      <w:r w:rsidR="009A191A" w:rsidRPr="000E194E">
        <w:rPr>
          <w:b/>
        </w:rPr>
        <w:t xml:space="preserve"> Reports</w:t>
      </w:r>
    </w:p>
    <w:p w14:paraId="5B8706C5" w14:textId="77777777" w:rsidR="009A191A" w:rsidRPr="000E194E" w:rsidRDefault="009A191A" w:rsidP="002C72E3">
      <w:pPr>
        <w:autoSpaceDE w:val="0"/>
        <w:autoSpaceDN w:val="0"/>
        <w:adjustRightInd w:val="0"/>
        <w:spacing w:after="0" w:line="280" w:lineRule="exact"/>
        <w:jc w:val="center"/>
      </w:pPr>
      <w:r w:rsidRPr="000E194E">
        <w:t>Submitted by Federal Departments and Agencies</w:t>
      </w:r>
    </w:p>
    <w:p w14:paraId="4D6E8067" w14:textId="543EEE13" w:rsidR="00211C94" w:rsidRPr="00F2627F" w:rsidRDefault="009A191A" w:rsidP="00211C94">
      <w:pPr>
        <w:autoSpaceDE w:val="0"/>
        <w:autoSpaceDN w:val="0"/>
        <w:adjustRightInd w:val="0"/>
        <w:spacing w:after="0" w:line="280" w:lineRule="exact"/>
        <w:jc w:val="center"/>
        <w:rPr>
          <w:color w:val="000000" w:themeColor="text1"/>
        </w:rPr>
      </w:pPr>
      <w:r w:rsidRPr="000E194E">
        <w:t>Pursuant to the OMB</w:t>
      </w:r>
      <w:r w:rsidR="00350A8A">
        <w:t>-</w:t>
      </w:r>
      <w:r w:rsidRPr="000E194E">
        <w:t xml:space="preserve">CEQ </w:t>
      </w:r>
      <w:r w:rsidR="00D8794A" w:rsidRPr="000E194E">
        <w:t>Policy Memorandum on ECCR</w:t>
      </w:r>
      <w:r w:rsidRPr="000E194E">
        <w:t xml:space="preserve"> of</w:t>
      </w:r>
      <w:r w:rsidR="00D733F4" w:rsidRPr="000E194E">
        <w:t xml:space="preserve"> September 7, 2012</w:t>
      </w:r>
    </w:p>
    <w:p w14:paraId="4519B5AA" w14:textId="77777777" w:rsidR="000E194E" w:rsidRDefault="000E194E" w:rsidP="000E194E">
      <w:pPr>
        <w:autoSpaceDE w:val="0"/>
        <w:autoSpaceDN w:val="0"/>
        <w:adjustRightInd w:val="0"/>
        <w:spacing w:after="0" w:line="240" w:lineRule="auto"/>
        <w:jc w:val="both"/>
        <w:rPr>
          <w:b/>
        </w:rPr>
      </w:pPr>
    </w:p>
    <w:p w14:paraId="2FFD43CF" w14:textId="77777777" w:rsidR="00992D2F" w:rsidRDefault="00992D2F" w:rsidP="00992D2F">
      <w:pPr>
        <w:autoSpaceDE w:val="0"/>
        <w:autoSpaceDN w:val="0"/>
        <w:adjustRightInd w:val="0"/>
        <w:spacing w:after="0" w:line="240" w:lineRule="auto"/>
      </w:pPr>
    </w:p>
    <w:p w14:paraId="093C4867" w14:textId="12D940D3" w:rsidR="00E23055" w:rsidRDefault="00791DCE" w:rsidP="00992D2F">
      <w:pPr>
        <w:autoSpaceDE w:val="0"/>
        <w:autoSpaceDN w:val="0"/>
        <w:adjustRightInd w:val="0"/>
        <w:spacing w:after="0" w:line="240" w:lineRule="auto"/>
      </w:pPr>
      <w:r w:rsidRPr="00F86F56">
        <w:t xml:space="preserve">This </w:t>
      </w:r>
      <w:r w:rsidR="00F86F56">
        <w:t>report</w:t>
      </w:r>
      <w:r w:rsidRPr="00F86F56">
        <w:t xml:space="preserve"> provides an overview and synopsis of </w:t>
      </w:r>
      <w:r w:rsidR="009811CD" w:rsidRPr="00F86F56">
        <w:t xml:space="preserve">federal </w:t>
      </w:r>
      <w:r w:rsidR="008E46FB" w:rsidRPr="00F86F56">
        <w:t xml:space="preserve">department and agency </w:t>
      </w:r>
      <w:r w:rsidRPr="00F86F56">
        <w:t xml:space="preserve">use of </w:t>
      </w:r>
      <w:r w:rsidR="00B5522F" w:rsidRPr="00F86F56">
        <w:t>environmental collaboration and conflict resolution (ECCR)</w:t>
      </w:r>
      <w:r w:rsidR="009811CD" w:rsidRPr="00F86F56">
        <w:t xml:space="preserve"> for FY 201</w:t>
      </w:r>
      <w:r w:rsidR="00913D0C">
        <w:t>6</w:t>
      </w:r>
      <w:r w:rsidRPr="00F86F56">
        <w:t>. ECCR is</w:t>
      </w:r>
      <w:r w:rsidR="00A8760B">
        <w:t xml:space="preserve"> defined as</w:t>
      </w:r>
      <w:r w:rsidRPr="00F86F56">
        <w:rPr>
          <w:b/>
        </w:rPr>
        <w:t xml:space="preserve"> </w:t>
      </w:r>
      <w:r w:rsidRPr="00F86F56">
        <w:t xml:space="preserve">third-party assisted collaboration </w:t>
      </w:r>
      <w:r w:rsidR="00AC54D7" w:rsidRPr="00F86F56">
        <w:t xml:space="preserve">and </w:t>
      </w:r>
      <w:r w:rsidRPr="00F86F56">
        <w:t>conflict resolution</w:t>
      </w:r>
      <w:r w:rsidR="00812CA9">
        <w:t xml:space="preserve"> used</w:t>
      </w:r>
      <w:r w:rsidRPr="00F86F56">
        <w:t xml:space="preserve"> to resolve problems and conflicts that arise in the context of environmental, public lands, or natural resource issues, including matters related to energy, transportation, and water and land management</w:t>
      </w:r>
      <w:r w:rsidRPr="00122EAC">
        <w:t>.</w:t>
      </w:r>
      <w:r w:rsidR="005D7BC4">
        <w:rPr>
          <w:rStyle w:val="FootnoteReference"/>
        </w:rPr>
        <w:footnoteReference w:id="1"/>
      </w:r>
      <w:r w:rsidRPr="00122EAC">
        <w:t xml:space="preserve"> In FY 201</w:t>
      </w:r>
      <w:r w:rsidR="00913D0C" w:rsidRPr="00122EAC">
        <w:t>6</w:t>
      </w:r>
      <w:r w:rsidR="00A8760B" w:rsidRPr="00122EAC">
        <w:t xml:space="preserve">, agencies reported </w:t>
      </w:r>
      <w:r w:rsidR="00D71A04">
        <w:t>36</w:t>
      </w:r>
      <w:r w:rsidR="002E3E90">
        <w:t>8</w:t>
      </w:r>
      <w:r w:rsidRPr="00122EAC">
        <w:t xml:space="preserve"> active </w:t>
      </w:r>
      <w:r w:rsidR="00330457" w:rsidRPr="00122EAC">
        <w:t>ECCR efforts</w:t>
      </w:r>
      <w:r w:rsidR="00122EAC">
        <w:t xml:space="preserve">. </w:t>
      </w:r>
      <w:r w:rsidR="00A366F5" w:rsidRPr="00122EAC">
        <w:t>Analysis of the FY 201</w:t>
      </w:r>
      <w:r w:rsidR="00122EAC" w:rsidRPr="00122EAC">
        <w:t>6</w:t>
      </w:r>
      <w:r w:rsidR="00A366F5" w:rsidRPr="00122EAC">
        <w:t xml:space="preserve"> </w:t>
      </w:r>
      <w:r w:rsidR="00302E0F" w:rsidRPr="00122EAC">
        <w:t xml:space="preserve">agency </w:t>
      </w:r>
      <w:r w:rsidR="00A366F5" w:rsidRPr="00122EAC">
        <w:t xml:space="preserve">reports shows that </w:t>
      </w:r>
      <w:r w:rsidR="00DD2111" w:rsidRPr="00122EAC">
        <w:t>the Environmental Protection Agency (</w:t>
      </w:r>
      <w:r w:rsidR="001B1396" w:rsidRPr="00122EAC">
        <w:t>EPA</w:t>
      </w:r>
      <w:r w:rsidR="00DD2111" w:rsidRPr="00122EAC">
        <w:t>)</w:t>
      </w:r>
      <w:r w:rsidR="001B1396" w:rsidRPr="00122EAC">
        <w:t xml:space="preserve">, </w:t>
      </w:r>
      <w:r w:rsidR="00964D5A">
        <w:t xml:space="preserve">Department of Defense (DoD), </w:t>
      </w:r>
      <w:r w:rsidR="00DD2111" w:rsidRPr="00122EAC">
        <w:t xml:space="preserve">the Department of </w:t>
      </w:r>
      <w:r w:rsidR="00812CA9" w:rsidRPr="00122EAC">
        <w:t xml:space="preserve">the </w:t>
      </w:r>
      <w:r w:rsidR="00DD2111" w:rsidRPr="00122EAC">
        <w:t>Interior (</w:t>
      </w:r>
      <w:r w:rsidRPr="00122EAC">
        <w:t>DOI</w:t>
      </w:r>
      <w:r w:rsidR="00DD2111" w:rsidRPr="00122EAC">
        <w:t>)</w:t>
      </w:r>
      <w:r w:rsidRPr="00122EAC">
        <w:t xml:space="preserve">, and </w:t>
      </w:r>
      <w:r w:rsidR="00DD2111" w:rsidRPr="00122EAC">
        <w:t>the Federal Energy Regulatory Commission (</w:t>
      </w:r>
      <w:r w:rsidRPr="00122EAC">
        <w:t>FERC</w:t>
      </w:r>
      <w:r w:rsidR="00DD2111" w:rsidRPr="00122EAC">
        <w:t>)</w:t>
      </w:r>
      <w:r w:rsidRPr="00122EAC">
        <w:t xml:space="preserve"> </w:t>
      </w:r>
      <w:r w:rsidR="00A8760B" w:rsidRPr="00122EAC">
        <w:t xml:space="preserve">continue to have </w:t>
      </w:r>
      <w:r w:rsidR="00812CA9" w:rsidRPr="00122EAC">
        <w:t>the highest-</w:t>
      </w:r>
      <w:r w:rsidRPr="00122EAC">
        <w:t>volume involvement in ECCR</w:t>
      </w:r>
      <w:r w:rsidR="00A8760B" w:rsidRPr="00122EAC">
        <w:t xml:space="preserve"> </w:t>
      </w:r>
      <w:r w:rsidRPr="00122EAC">
        <w:t xml:space="preserve">since </w:t>
      </w:r>
      <w:r w:rsidR="00ED72F5">
        <w:t xml:space="preserve">formal </w:t>
      </w:r>
      <w:r w:rsidR="00F42FE3">
        <w:t>reporting began in FY 2006</w:t>
      </w:r>
      <w:r w:rsidR="001B0482" w:rsidRPr="00122EAC">
        <w:t>.</w:t>
      </w:r>
      <w:r w:rsidR="00E23055" w:rsidRPr="00122EAC">
        <w:t xml:space="preserve"> </w:t>
      </w:r>
      <w:r w:rsidR="00CE63E3" w:rsidRPr="00CE63E3">
        <w:rPr>
          <w:i/>
        </w:rPr>
        <w:t>Appendix A</w:t>
      </w:r>
      <w:r w:rsidR="00CE63E3">
        <w:t xml:space="preserve"> shows the history of reporting agencies since the beginning of formal reporting in 2006, as well as brief summaries of trends in select areas of report content. </w:t>
      </w:r>
    </w:p>
    <w:p w14:paraId="7E590FCE" w14:textId="4EFF6C62" w:rsidR="009A438C" w:rsidRPr="004910B4" w:rsidRDefault="00D733F4" w:rsidP="002456E9">
      <w:pPr>
        <w:pStyle w:val="Heading1"/>
      </w:pPr>
      <w:r w:rsidRPr="004910B4">
        <w:t>Background</w:t>
      </w:r>
      <w:r w:rsidR="004E7CA0" w:rsidRPr="004910B4">
        <w:t xml:space="preserve"> </w:t>
      </w:r>
    </w:p>
    <w:p w14:paraId="65124DCF" w14:textId="16F831B9" w:rsidR="000E5E01" w:rsidRDefault="008110A8" w:rsidP="00992D2F">
      <w:pPr>
        <w:autoSpaceDE w:val="0"/>
        <w:autoSpaceDN w:val="0"/>
        <w:adjustRightInd w:val="0"/>
        <w:spacing w:after="0" w:line="240" w:lineRule="auto"/>
      </w:pPr>
      <w:r w:rsidRPr="000E194E">
        <w:t>On September 7, 2012, the Office of Management and Budget (OMB) and the President’s Council on Environmental Quality (CEQ) issued a joint policy memorandum on environmental collaboration and conflict resolution.</w:t>
      </w:r>
      <w:r w:rsidR="005550E5" w:rsidRPr="000E194E">
        <w:rPr>
          <w:rStyle w:val="FootnoteReference"/>
        </w:rPr>
        <w:footnoteReference w:id="2"/>
      </w:r>
      <w:r w:rsidRPr="000E194E">
        <w:t xml:space="preserve"> </w:t>
      </w:r>
      <w:r w:rsidR="00A6408B" w:rsidRPr="000E194E">
        <w:t xml:space="preserve">Building on 2005 </w:t>
      </w:r>
      <w:r w:rsidR="00A366F5" w:rsidRPr="000E194E">
        <w:t xml:space="preserve">OMB-CEQ </w:t>
      </w:r>
      <w:r w:rsidR="00A6408B" w:rsidRPr="000E194E">
        <w:t>guidance</w:t>
      </w:r>
      <w:r w:rsidR="00A366F5" w:rsidRPr="000E194E">
        <w:t xml:space="preserve">, the </w:t>
      </w:r>
      <w:r w:rsidR="000E5E01">
        <w:t xml:space="preserve">2012 </w:t>
      </w:r>
      <w:r w:rsidR="00A366F5" w:rsidRPr="000E194E">
        <w:t xml:space="preserve">memo </w:t>
      </w:r>
      <w:r w:rsidR="000E5E01">
        <w:t xml:space="preserve">provides all executive branch </w:t>
      </w:r>
      <w:r w:rsidR="00A366F5" w:rsidRPr="000E194E">
        <w:t xml:space="preserve">agencies </w:t>
      </w:r>
      <w:r w:rsidR="000E5E01">
        <w:t xml:space="preserve">with the following direction: </w:t>
      </w:r>
    </w:p>
    <w:p w14:paraId="4EA83F34" w14:textId="77777777" w:rsidR="000E5E01" w:rsidRDefault="000E5E01" w:rsidP="00992D2F">
      <w:pPr>
        <w:autoSpaceDE w:val="0"/>
        <w:autoSpaceDN w:val="0"/>
        <w:adjustRightInd w:val="0"/>
        <w:spacing w:after="0" w:line="240" w:lineRule="auto"/>
      </w:pPr>
    </w:p>
    <w:p w14:paraId="23C477F4" w14:textId="39C12C1C" w:rsidR="00DF7EAB" w:rsidRPr="000E5E01" w:rsidRDefault="000E5E01" w:rsidP="000E5E01">
      <w:pPr>
        <w:spacing w:after="0" w:line="240" w:lineRule="auto"/>
        <w:ind w:left="360" w:right="144"/>
        <w:rPr>
          <w:i/>
          <w:color w:val="767171" w:themeColor="background2" w:themeShade="80"/>
        </w:rPr>
      </w:pPr>
      <w:r w:rsidRPr="000E5E01">
        <w:rPr>
          <w:i/>
          <w:color w:val="767171" w:themeColor="background2" w:themeShade="80"/>
        </w:rPr>
        <w:t>(I)</w:t>
      </w:r>
      <w:proofErr w:type="spellStart"/>
      <w:r w:rsidR="00A366F5" w:rsidRPr="000E5E01">
        <w:rPr>
          <w:i/>
          <w:color w:val="767171" w:themeColor="background2" w:themeShade="80"/>
        </w:rPr>
        <w:t>ncrease</w:t>
      </w:r>
      <w:proofErr w:type="spellEnd"/>
      <w:r w:rsidR="00A366F5" w:rsidRPr="000E5E01">
        <w:rPr>
          <w:i/>
          <w:color w:val="767171" w:themeColor="background2" w:themeShade="80"/>
        </w:rPr>
        <w:t xml:space="preserve"> the </w:t>
      </w:r>
      <w:r w:rsidRPr="000E5E01">
        <w:rPr>
          <w:i/>
          <w:color w:val="767171" w:themeColor="background2" w:themeShade="80"/>
        </w:rPr>
        <w:t xml:space="preserve">appropriate and effective </w:t>
      </w:r>
      <w:r w:rsidR="00A366F5" w:rsidRPr="000E5E01">
        <w:rPr>
          <w:i/>
          <w:color w:val="767171" w:themeColor="background2" w:themeShade="80"/>
        </w:rPr>
        <w:t xml:space="preserve">use of </w:t>
      </w:r>
      <w:r w:rsidRPr="000E5E01">
        <w:rPr>
          <w:i/>
          <w:color w:val="767171" w:themeColor="background2" w:themeShade="80"/>
        </w:rPr>
        <w:t xml:space="preserve">third-party assisted environmental </w:t>
      </w:r>
      <w:r w:rsidR="00A366F5" w:rsidRPr="000E5E01">
        <w:rPr>
          <w:i/>
          <w:color w:val="767171" w:themeColor="background2" w:themeShade="80"/>
        </w:rPr>
        <w:t>collaborati</w:t>
      </w:r>
      <w:r w:rsidRPr="000E5E01">
        <w:rPr>
          <w:i/>
          <w:color w:val="767171" w:themeColor="background2" w:themeShade="80"/>
        </w:rPr>
        <w:t xml:space="preserve">on as well as environmental conflict resolution to </w:t>
      </w:r>
      <w:r w:rsidR="00380A46" w:rsidRPr="000E5E01">
        <w:rPr>
          <w:i/>
          <w:color w:val="767171" w:themeColor="background2" w:themeShade="80"/>
        </w:rPr>
        <w:t xml:space="preserve">resolve </w:t>
      </w:r>
      <w:r w:rsidRPr="000E5E01">
        <w:rPr>
          <w:i/>
          <w:color w:val="767171" w:themeColor="background2" w:themeShade="80"/>
        </w:rPr>
        <w:t xml:space="preserve">problems and conflicts that arise in the context of environmental, public lands, or </w:t>
      </w:r>
      <w:r w:rsidR="00380A46" w:rsidRPr="000E5E01">
        <w:rPr>
          <w:i/>
          <w:color w:val="767171" w:themeColor="background2" w:themeShade="80"/>
        </w:rPr>
        <w:t>natural resource</w:t>
      </w:r>
      <w:r w:rsidRPr="000E5E01">
        <w:rPr>
          <w:i/>
          <w:color w:val="767171" w:themeColor="background2" w:themeShade="80"/>
        </w:rPr>
        <w:t xml:space="preserve"> issues, including matters related to energy, transportation, and water and land management</w:t>
      </w:r>
      <w:r w:rsidR="00FC3661" w:rsidRPr="000E5E01">
        <w:rPr>
          <w:i/>
          <w:color w:val="767171" w:themeColor="background2" w:themeShade="80"/>
        </w:rPr>
        <w:t>.</w:t>
      </w:r>
      <w:r w:rsidR="00622461" w:rsidRPr="000E5E01">
        <w:rPr>
          <w:i/>
          <w:color w:val="767171" w:themeColor="background2" w:themeShade="80"/>
          <w:vertAlign w:val="superscript"/>
        </w:rPr>
        <w:footnoteReference w:id="3"/>
      </w:r>
      <w:r w:rsidR="00FC3661" w:rsidRPr="000E5E01">
        <w:rPr>
          <w:i/>
          <w:color w:val="767171" w:themeColor="background2" w:themeShade="80"/>
        </w:rPr>
        <w:t xml:space="preserve"> </w:t>
      </w:r>
      <w:r w:rsidR="00DF7EAB" w:rsidRPr="000E5E01">
        <w:rPr>
          <w:i/>
          <w:color w:val="767171" w:themeColor="background2" w:themeShade="80"/>
        </w:rPr>
        <w:t xml:space="preserve"> </w:t>
      </w:r>
    </w:p>
    <w:p w14:paraId="2279D6FC" w14:textId="2138BD9C" w:rsidR="004E7CA0" w:rsidRPr="004910B4" w:rsidRDefault="00902450" w:rsidP="002456E9">
      <w:pPr>
        <w:pStyle w:val="Heading1"/>
      </w:pPr>
      <w:r w:rsidRPr="004910B4">
        <w:t xml:space="preserve">Reporting Requirement and </w:t>
      </w:r>
      <w:r w:rsidR="000E194E" w:rsidRPr="004910B4">
        <w:t xml:space="preserve">FY </w:t>
      </w:r>
      <w:r w:rsidR="00913D0C">
        <w:t>2016</w:t>
      </w:r>
      <w:r w:rsidRPr="004910B4">
        <w:t xml:space="preserve"> Participation</w:t>
      </w:r>
    </w:p>
    <w:p w14:paraId="797AFB46" w14:textId="2BB2A6CF" w:rsidR="00FA1B58" w:rsidRDefault="000E194E" w:rsidP="00992D2F">
      <w:pPr>
        <w:pStyle w:val="NormalWeb"/>
        <w:shd w:val="clear" w:color="auto" w:fill="FFFFFF"/>
        <w:spacing w:before="0" w:beforeAutospacing="0" w:after="0" w:afterAutospacing="0"/>
        <w:rPr>
          <w:rFonts w:ascii="Segoe UI" w:hAnsi="Segoe UI" w:cs="Segoe UI"/>
          <w:sz w:val="20"/>
          <w:szCs w:val="20"/>
        </w:rPr>
      </w:pPr>
      <w:r w:rsidRPr="000E194E">
        <w:rPr>
          <w:rFonts w:ascii="Segoe UI" w:hAnsi="Segoe UI" w:cs="Segoe UI"/>
          <w:color w:val="000000"/>
          <w:sz w:val="20"/>
          <w:szCs w:val="20"/>
        </w:rPr>
        <w:t xml:space="preserve">The </w:t>
      </w:r>
      <w:r w:rsidR="008A2563">
        <w:rPr>
          <w:rFonts w:ascii="Segoe UI" w:hAnsi="Segoe UI" w:cs="Segoe UI"/>
          <w:color w:val="000000"/>
          <w:sz w:val="20"/>
          <w:szCs w:val="20"/>
        </w:rPr>
        <w:t xml:space="preserve">2012 joint policy </w:t>
      </w:r>
      <w:r w:rsidRPr="000E194E">
        <w:rPr>
          <w:rFonts w:ascii="Segoe UI" w:hAnsi="Segoe UI" w:cs="Segoe UI"/>
          <w:color w:val="000000"/>
          <w:sz w:val="20"/>
          <w:szCs w:val="20"/>
        </w:rPr>
        <w:t xml:space="preserve">memorandum </w:t>
      </w:r>
      <w:r w:rsidR="008A2563">
        <w:rPr>
          <w:rFonts w:ascii="Segoe UI" w:hAnsi="Segoe UI" w:cs="Segoe UI"/>
          <w:color w:val="000000"/>
          <w:sz w:val="20"/>
          <w:szCs w:val="20"/>
        </w:rPr>
        <w:t xml:space="preserve">on ECCR </w:t>
      </w:r>
      <w:r w:rsidRPr="000E194E">
        <w:rPr>
          <w:rFonts w:ascii="Segoe UI" w:hAnsi="Segoe UI" w:cs="Segoe UI"/>
          <w:color w:val="000000"/>
          <w:sz w:val="20"/>
          <w:szCs w:val="20"/>
        </w:rPr>
        <w:t xml:space="preserve">requires </w:t>
      </w:r>
      <w:r w:rsidR="007C2421">
        <w:rPr>
          <w:rFonts w:ascii="Segoe UI" w:hAnsi="Segoe UI" w:cs="Segoe UI"/>
          <w:color w:val="000000"/>
          <w:sz w:val="20"/>
          <w:szCs w:val="20"/>
        </w:rPr>
        <w:t xml:space="preserve">federal </w:t>
      </w:r>
      <w:r w:rsidR="007C2421" w:rsidRPr="000E194E">
        <w:rPr>
          <w:rFonts w:ascii="Segoe UI" w:hAnsi="Segoe UI" w:cs="Segoe UI"/>
          <w:color w:val="000000"/>
          <w:sz w:val="20"/>
          <w:szCs w:val="20"/>
        </w:rPr>
        <w:t xml:space="preserve">departments and agencies </w:t>
      </w:r>
      <w:r w:rsidR="007C2421">
        <w:rPr>
          <w:rFonts w:ascii="Segoe UI" w:hAnsi="Segoe UI" w:cs="Segoe UI"/>
          <w:color w:val="000000"/>
          <w:sz w:val="20"/>
          <w:szCs w:val="20"/>
        </w:rPr>
        <w:t xml:space="preserve">to report </w:t>
      </w:r>
      <w:r w:rsidRPr="000E194E">
        <w:rPr>
          <w:rFonts w:ascii="Segoe UI" w:hAnsi="Segoe UI" w:cs="Segoe UI"/>
          <w:color w:val="000000"/>
          <w:sz w:val="20"/>
          <w:szCs w:val="20"/>
        </w:rPr>
        <w:t>annual</w:t>
      </w:r>
      <w:r w:rsidR="007C2421">
        <w:rPr>
          <w:rFonts w:ascii="Segoe UI" w:hAnsi="Segoe UI" w:cs="Segoe UI"/>
          <w:color w:val="000000"/>
          <w:sz w:val="20"/>
          <w:szCs w:val="20"/>
        </w:rPr>
        <w:t>ly</w:t>
      </w:r>
      <w:r w:rsidRPr="000E194E">
        <w:rPr>
          <w:rFonts w:ascii="Segoe UI" w:hAnsi="Segoe UI" w:cs="Segoe UI"/>
          <w:color w:val="000000"/>
          <w:sz w:val="20"/>
          <w:szCs w:val="20"/>
        </w:rPr>
        <w:t xml:space="preserve"> to OMB and CEQ on progress made each year in implementing the ECCR policy direction to increase the effective use and institutional capacity for ECCR. </w:t>
      </w:r>
      <w:r w:rsidR="00FA1B58" w:rsidRPr="000E194E">
        <w:rPr>
          <w:rFonts w:ascii="Segoe UI" w:hAnsi="Segoe UI" w:cs="Segoe UI"/>
          <w:sz w:val="20"/>
          <w:szCs w:val="20"/>
        </w:rPr>
        <w:t xml:space="preserve">Specifically, Section 4(g) of the 2012 memorandum </w:t>
      </w:r>
      <w:r w:rsidR="008A2563">
        <w:rPr>
          <w:rFonts w:ascii="Segoe UI" w:hAnsi="Segoe UI" w:cs="Segoe UI"/>
          <w:sz w:val="20"/>
          <w:szCs w:val="20"/>
        </w:rPr>
        <w:t>establishes the following reporting requirement</w:t>
      </w:r>
      <w:r w:rsidR="00FA1B58" w:rsidRPr="000E194E">
        <w:rPr>
          <w:rFonts w:ascii="Segoe UI" w:hAnsi="Segoe UI" w:cs="Segoe UI"/>
          <w:sz w:val="20"/>
          <w:szCs w:val="20"/>
        </w:rPr>
        <w:t>:</w:t>
      </w:r>
    </w:p>
    <w:p w14:paraId="023F3909" w14:textId="77777777" w:rsidR="00767F2E" w:rsidRPr="000E194E" w:rsidRDefault="00767F2E" w:rsidP="00992D2F">
      <w:pPr>
        <w:autoSpaceDE w:val="0"/>
        <w:autoSpaceDN w:val="0"/>
        <w:adjustRightInd w:val="0"/>
        <w:spacing w:after="0" w:line="240" w:lineRule="auto"/>
      </w:pPr>
    </w:p>
    <w:p w14:paraId="7E06AE0D" w14:textId="2386554A" w:rsidR="00FA1B58" w:rsidRPr="000E5E01" w:rsidRDefault="00FA1B58" w:rsidP="00992D2F">
      <w:pPr>
        <w:spacing w:after="0" w:line="240" w:lineRule="auto"/>
        <w:ind w:left="360" w:right="144"/>
        <w:rPr>
          <w:color w:val="767171" w:themeColor="background2" w:themeShade="80"/>
        </w:rPr>
      </w:pPr>
      <w:r w:rsidRPr="000E5E01">
        <w:rPr>
          <w:i/>
          <w:color w:val="767171" w:themeColor="background2" w:themeShade="80"/>
        </w:rPr>
        <w:t xml:space="preserve">Federal departments and agencies shall report at least every year to the Director of OMB and the Chair of CEQ on their use of Environmental Collaboration and Conflict Resolution for these purposes, and on the estimated cost savings and benefits realized through third-party assisted negotiation, mediation, or other processes designed to help parties achieve agreement. Costs savings and benefits realized should be reported using quantitative data to the extent possible. Departments and agencies are encouraged to work toward systematic collection of relevant </w:t>
      </w:r>
      <w:r w:rsidRPr="000E5E01">
        <w:rPr>
          <w:i/>
          <w:color w:val="767171" w:themeColor="background2" w:themeShade="80"/>
        </w:rPr>
        <w:lastRenderedPageBreak/>
        <w:t>information that can be useful in on-going information exchange across departments and agenci</w:t>
      </w:r>
      <w:r w:rsidR="000E5E01" w:rsidRPr="000E5E01">
        <w:rPr>
          <w:i/>
          <w:color w:val="767171" w:themeColor="background2" w:themeShade="80"/>
        </w:rPr>
        <w:t>es as fostered by Section 4(e).</w:t>
      </w:r>
      <w:r w:rsidRPr="000E5E01">
        <w:rPr>
          <w:i/>
          <w:color w:val="767171" w:themeColor="background2" w:themeShade="80"/>
        </w:rPr>
        <w:t xml:space="preserve"> </w:t>
      </w:r>
    </w:p>
    <w:p w14:paraId="4E7BC2B8" w14:textId="77777777" w:rsidR="00767F2E" w:rsidRDefault="00767F2E" w:rsidP="00992D2F">
      <w:pPr>
        <w:autoSpaceDE w:val="0"/>
        <w:autoSpaceDN w:val="0"/>
        <w:adjustRightInd w:val="0"/>
        <w:spacing w:after="0" w:line="240" w:lineRule="auto"/>
      </w:pPr>
    </w:p>
    <w:p w14:paraId="01A8FA74" w14:textId="025C2340" w:rsidR="004E7CA0" w:rsidRPr="00BC2AF8" w:rsidRDefault="00B13C17" w:rsidP="00F42FE3">
      <w:pPr>
        <w:keepNext/>
        <w:keepLines/>
        <w:autoSpaceDE w:val="0"/>
        <w:autoSpaceDN w:val="0"/>
        <w:adjustRightInd w:val="0"/>
        <w:spacing w:after="120" w:line="240" w:lineRule="auto"/>
      </w:pPr>
      <w:r>
        <w:t>T</w:t>
      </w:r>
      <w:r w:rsidR="004E7CA0" w:rsidRPr="000E194E">
        <w:t xml:space="preserve">he following departments and agencies submitted </w:t>
      </w:r>
      <w:r w:rsidRPr="000E194E">
        <w:t>FY 201</w:t>
      </w:r>
      <w:r w:rsidR="00334261">
        <w:t xml:space="preserve">6 </w:t>
      </w:r>
      <w:r w:rsidR="009A2181" w:rsidRPr="000E194E">
        <w:t>reports</w:t>
      </w:r>
      <w:r>
        <w:t xml:space="preserve">: </w:t>
      </w:r>
      <w:r w:rsidR="004E7CA0" w:rsidRPr="000E194E">
        <w:t xml:space="preserve"> </w:t>
      </w:r>
    </w:p>
    <w:p w14:paraId="626DE04F" w14:textId="77777777" w:rsidR="00F42FE3" w:rsidRPr="00BC2AF8" w:rsidRDefault="00F42FE3" w:rsidP="00F42FE3">
      <w:pPr>
        <w:pStyle w:val="ListParagraph"/>
        <w:widowControl w:val="0"/>
        <w:numPr>
          <w:ilvl w:val="0"/>
          <w:numId w:val="36"/>
        </w:numPr>
        <w:overflowPunct w:val="0"/>
        <w:autoSpaceDE w:val="0"/>
        <w:autoSpaceDN w:val="0"/>
        <w:adjustRightInd w:val="0"/>
      </w:pPr>
      <w:r w:rsidRPr="00BC2AF8">
        <w:t>Department of Energy (DOE)</w:t>
      </w:r>
    </w:p>
    <w:p w14:paraId="2C432BE3" w14:textId="77777777" w:rsidR="00F42FE3" w:rsidRPr="00BC2AF8" w:rsidRDefault="00F42FE3" w:rsidP="00F42FE3">
      <w:pPr>
        <w:pStyle w:val="ListParagraph"/>
        <w:widowControl w:val="0"/>
        <w:numPr>
          <w:ilvl w:val="0"/>
          <w:numId w:val="36"/>
        </w:numPr>
        <w:overflowPunct w:val="0"/>
        <w:autoSpaceDE w:val="0"/>
        <w:autoSpaceDN w:val="0"/>
        <w:adjustRightInd w:val="0"/>
      </w:pPr>
      <w:r w:rsidRPr="00BC2AF8">
        <w:t>Department of the Interior (DOI)</w:t>
      </w:r>
    </w:p>
    <w:p w14:paraId="125020BC" w14:textId="0EDDCABA" w:rsidR="00767F2E" w:rsidRDefault="00767F2E" w:rsidP="00F42FE3">
      <w:pPr>
        <w:pStyle w:val="ListParagraph"/>
        <w:keepNext/>
        <w:keepLines/>
        <w:widowControl w:val="0"/>
        <w:numPr>
          <w:ilvl w:val="1"/>
          <w:numId w:val="36"/>
        </w:numPr>
        <w:overflowPunct w:val="0"/>
        <w:autoSpaceDE w:val="0"/>
        <w:autoSpaceDN w:val="0"/>
        <w:adjustRightInd w:val="0"/>
        <w:ind w:left="720"/>
      </w:pPr>
      <w:r w:rsidRPr="00BC2AF8">
        <w:t>Department of the Navy</w:t>
      </w:r>
    </w:p>
    <w:p w14:paraId="6DB6F558" w14:textId="70B2716D" w:rsidR="00EE3B60" w:rsidRDefault="00EE3B60" w:rsidP="00EE3B60">
      <w:pPr>
        <w:pStyle w:val="ListParagraph"/>
        <w:widowControl w:val="0"/>
        <w:numPr>
          <w:ilvl w:val="0"/>
          <w:numId w:val="36"/>
        </w:numPr>
        <w:overflowPunct w:val="0"/>
        <w:autoSpaceDE w:val="0"/>
        <w:autoSpaceDN w:val="0"/>
        <w:adjustRightInd w:val="0"/>
      </w:pPr>
      <w:r>
        <w:t>Department of Transportation (DOT)</w:t>
      </w:r>
    </w:p>
    <w:p w14:paraId="6D959FF5" w14:textId="77777777" w:rsidR="00F42FE3" w:rsidRPr="00BC2AF8" w:rsidRDefault="00F42FE3" w:rsidP="00F42FE3">
      <w:pPr>
        <w:pStyle w:val="ListParagraph"/>
        <w:widowControl w:val="0"/>
        <w:numPr>
          <w:ilvl w:val="0"/>
          <w:numId w:val="36"/>
        </w:numPr>
        <w:overflowPunct w:val="0"/>
        <w:autoSpaceDE w:val="0"/>
        <w:autoSpaceDN w:val="0"/>
        <w:adjustRightInd w:val="0"/>
      </w:pPr>
      <w:r>
        <w:t>Department of Veterans Affairs (VA)</w:t>
      </w:r>
    </w:p>
    <w:p w14:paraId="4E4810AF" w14:textId="77777777" w:rsidR="00F42FE3" w:rsidRPr="00BC2AF8" w:rsidRDefault="00F42FE3" w:rsidP="00F42FE3">
      <w:pPr>
        <w:pStyle w:val="ListParagraph"/>
        <w:widowControl w:val="0"/>
        <w:numPr>
          <w:ilvl w:val="0"/>
          <w:numId w:val="36"/>
        </w:numPr>
        <w:overflowPunct w:val="0"/>
        <w:autoSpaceDE w:val="0"/>
        <w:autoSpaceDN w:val="0"/>
        <w:adjustRightInd w:val="0"/>
      </w:pPr>
      <w:r w:rsidRPr="00BC2AF8">
        <w:t>Federal Energy Regulatory Commission (FERC)</w:t>
      </w:r>
    </w:p>
    <w:p w14:paraId="5FBF9C61" w14:textId="6701745A" w:rsidR="00F42FE3" w:rsidRDefault="00F42FE3" w:rsidP="00F42FE3">
      <w:pPr>
        <w:pStyle w:val="ListParagraph"/>
        <w:numPr>
          <w:ilvl w:val="1"/>
          <w:numId w:val="36"/>
        </w:numPr>
        <w:ind w:left="720"/>
      </w:pPr>
      <w:r w:rsidRPr="00F42FE3">
        <w:t>National Guard Bureau</w:t>
      </w:r>
    </w:p>
    <w:p w14:paraId="3DD984A6" w14:textId="6D21BC44" w:rsidR="006073ED" w:rsidRPr="00BC2AF8" w:rsidRDefault="006073ED" w:rsidP="00F42FE3">
      <w:pPr>
        <w:pStyle w:val="ListParagraph"/>
        <w:numPr>
          <w:ilvl w:val="1"/>
          <w:numId w:val="36"/>
        </w:numPr>
        <w:ind w:left="720"/>
      </w:pPr>
      <w:r>
        <w:t>National Oceanic and Atmospheric Administration (NOAA)</w:t>
      </w:r>
    </w:p>
    <w:p w14:paraId="07747E43" w14:textId="39DF82D9" w:rsidR="00767F2E" w:rsidRPr="00BC2AF8" w:rsidRDefault="00767F2E" w:rsidP="00F42FE3">
      <w:pPr>
        <w:pStyle w:val="ListParagraph"/>
        <w:keepNext/>
        <w:keepLines/>
        <w:widowControl w:val="0"/>
        <w:numPr>
          <w:ilvl w:val="1"/>
          <w:numId w:val="36"/>
        </w:numPr>
        <w:overflowPunct w:val="0"/>
        <w:autoSpaceDE w:val="0"/>
        <w:autoSpaceDN w:val="0"/>
        <w:adjustRightInd w:val="0"/>
        <w:ind w:left="720"/>
      </w:pPr>
      <w:r w:rsidRPr="00BC2AF8">
        <w:t>U.S. Air Force</w:t>
      </w:r>
    </w:p>
    <w:p w14:paraId="309AB35B" w14:textId="29741FFE" w:rsidR="00767F2E" w:rsidRPr="00BC2AF8" w:rsidRDefault="00767F2E" w:rsidP="00F42FE3">
      <w:pPr>
        <w:pStyle w:val="ListParagraph"/>
        <w:keepNext/>
        <w:keepLines/>
        <w:widowControl w:val="0"/>
        <w:numPr>
          <w:ilvl w:val="1"/>
          <w:numId w:val="36"/>
        </w:numPr>
        <w:overflowPunct w:val="0"/>
        <w:autoSpaceDE w:val="0"/>
        <w:autoSpaceDN w:val="0"/>
        <w:adjustRightInd w:val="0"/>
        <w:ind w:left="720"/>
      </w:pPr>
      <w:r w:rsidRPr="00BC2AF8">
        <w:t>U.S. Army</w:t>
      </w:r>
    </w:p>
    <w:p w14:paraId="4EABA209" w14:textId="06A52143" w:rsidR="00767F2E" w:rsidRPr="00BC2AF8" w:rsidRDefault="00767F2E" w:rsidP="00F42FE3">
      <w:pPr>
        <w:pStyle w:val="ListParagraph"/>
        <w:keepNext/>
        <w:keepLines/>
        <w:widowControl w:val="0"/>
        <w:numPr>
          <w:ilvl w:val="1"/>
          <w:numId w:val="36"/>
        </w:numPr>
        <w:overflowPunct w:val="0"/>
        <w:autoSpaceDE w:val="0"/>
        <w:autoSpaceDN w:val="0"/>
        <w:adjustRightInd w:val="0"/>
        <w:ind w:left="720"/>
      </w:pPr>
      <w:r w:rsidRPr="00BC2AF8">
        <w:t>U.S. Army Corps of Engineers</w:t>
      </w:r>
      <w:r w:rsidR="001B1396">
        <w:t xml:space="preserve"> (USACE)</w:t>
      </w:r>
    </w:p>
    <w:p w14:paraId="432A6115" w14:textId="0D6DE60E" w:rsidR="00E55254" w:rsidRPr="00BC2AF8" w:rsidRDefault="00E55254" w:rsidP="00F42FE3">
      <w:pPr>
        <w:pStyle w:val="ListParagraph"/>
        <w:keepNext/>
        <w:keepLines/>
        <w:widowControl w:val="0"/>
        <w:numPr>
          <w:ilvl w:val="1"/>
          <w:numId w:val="36"/>
        </w:numPr>
        <w:overflowPunct w:val="0"/>
        <w:autoSpaceDE w:val="0"/>
        <w:autoSpaceDN w:val="0"/>
        <w:adjustRightInd w:val="0"/>
        <w:ind w:left="720"/>
      </w:pPr>
      <w:r>
        <w:t>U.S. Army Reserve</w:t>
      </w:r>
    </w:p>
    <w:p w14:paraId="128EA118" w14:textId="79D27663" w:rsidR="004E7CA0" w:rsidRDefault="00767F2E" w:rsidP="00F42FE3">
      <w:pPr>
        <w:pStyle w:val="ListParagraph"/>
        <w:widowControl w:val="0"/>
        <w:numPr>
          <w:ilvl w:val="0"/>
          <w:numId w:val="15"/>
        </w:numPr>
        <w:overflowPunct w:val="0"/>
        <w:autoSpaceDE w:val="0"/>
        <w:autoSpaceDN w:val="0"/>
        <w:adjustRightInd w:val="0"/>
      </w:pPr>
      <w:r w:rsidRPr="00BC2AF8">
        <w:t>U.S. Environmental Protection Agency (EPA)</w:t>
      </w:r>
    </w:p>
    <w:p w14:paraId="36F4948D" w14:textId="19B55DF3" w:rsidR="00767F2E" w:rsidRPr="00B13C17" w:rsidRDefault="00D05603" w:rsidP="00992D2F">
      <w:pPr>
        <w:pStyle w:val="ColorfulList-Accent11"/>
        <w:spacing w:before="0" w:after="0"/>
        <w:ind w:left="0" w:firstLine="0"/>
        <w:contextualSpacing w:val="0"/>
        <w:rPr>
          <w:rFonts w:asciiTheme="minorHAnsi" w:hAnsiTheme="minorHAnsi" w:cs="Segoe UI"/>
        </w:rPr>
      </w:pPr>
      <w:r w:rsidRPr="00B13C17">
        <w:rPr>
          <w:rFonts w:asciiTheme="minorHAnsi" w:hAnsiTheme="minorHAnsi" w:cs="Segoe UI"/>
        </w:rPr>
        <w:t>Th</w:t>
      </w:r>
      <w:r w:rsidR="008C31D6" w:rsidRPr="00B13C17">
        <w:rPr>
          <w:rFonts w:asciiTheme="minorHAnsi" w:hAnsiTheme="minorHAnsi" w:cs="Segoe UI"/>
        </w:rPr>
        <w:t>is</w:t>
      </w:r>
      <w:r w:rsidRPr="00B13C17">
        <w:rPr>
          <w:rFonts w:asciiTheme="minorHAnsi" w:hAnsiTheme="minorHAnsi" w:cs="Segoe UI"/>
        </w:rPr>
        <w:t xml:space="preserve"> </w:t>
      </w:r>
      <w:r w:rsidR="008C31D6" w:rsidRPr="00B13C17">
        <w:rPr>
          <w:rFonts w:asciiTheme="minorHAnsi" w:hAnsiTheme="minorHAnsi" w:cs="Segoe UI"/>
        </w:rPr>
        <w:t xml:space="preserve">synthesis </w:t>
      </w:r>
      <w:r w:rsidR="00A366F5" w:rsidRPr="00B13C17">
        <w:rPr>
          <w:rFonts w:asciiTheme="minorHAnsi" w:hAnsiTheme="minorHAnsi" w:cs="Segoe UI"/>
        </w:rPr>
        <w:t xml:space="preserve">summarizes </w:t>
      </w:r>
      <w:r w:rsidR="008C31D6" w:rsidRPr="00B13C17">
        <w:rPr>
          <w:rFonts w:asciiTheme="minorHAnsi" w:hAnsiTheme="minorHAnsi" w:cs="Segoe UI"/>
        </w:rPr>
        <w:t>the</w:t>
      </w:r>
      <w:r w:rsidR="009A2181" w:rsidRPr="00B13C17">
        <w:rPr>
          <w:rFonts w:asciiTheme="minorHAnsi" w:hAnsiTheme="minorHAnsi" w:cs="Segoe UI"/>
        </w:rPr>
        <w:t xml:space="preserve"> </w:t>
      </w:r>
      <w:r w:rsidR="00FE308A" w:rsidRPr="00B13C17">
        <w:rPr>
          <w:rFonts w:asciiTheme="minorHAnsi" w:hAnsiTheme="minorHAnsi" w:cs="Segoe UI"/>
        </w:rPr>
        <w:t xml:space="preserve">information in the </w:t>
      </w:r>
      <w:r w:rsidR="008E395A" w:rsidRPr="00B13C17">
        <w:rPr>
          <w:rFonts w:asciiTheme="minorHAnsi" w:hAnsiTheme="minorHAnsi" w:cs="Segoe UI"/>
        </w:rPr>
        <w:t>FY 201</w:t>
      </w:r>
      <w:r w:rsidR="00E55254">
        <w:rPr>
          <w:rFonts w:asciiTheme="minorHAnsi" w:hAnsiTheme="minorHAnsi" w:cs="Segoe UI"/>
        </w:rPr>
        <w:t>6</w:t>
      </w:r>
      <w:r w:rsidR="009A2181" w:rsidRPr="00B13C17">
        <w:rPr>
          <w:rFonts w:asciiTheme="minorHAnsi" w:hAnsiTheme="minorHAnsi" w:cs="Segoe UI"/>
        </w:rPr>
        <w:t xml:space="preserve"> reports. </w:t>
      </w:r>
      <w:r w:rsidR="00350A8A" w:rsidRPr="00B13C17">
        <w:rPr>
          <w:rFonts w:asciiTheme="minorHAnsi" w:hAnsiTheme="minorHAnsi" w:cs="Segoe UI"/>
        </w:rPr>
        <w:t>I</w:t>
      </w:r>
      <w:r w:rsidR="008E395A" w:rsidRPr="00B13C17">
        <w:rPr>
          <w:rFonts w:asciiTheme="minorHAnsi" w:hAnsiTheme="minorHAnsi" w:cs="Segoe UI"/>
        </w:rPr>
        <w:t xml:space="preserve">ndividual department and agency reports are </w:t>
      </w:r>
      <w:r w:rsidR="00D54C13" w:rsidRPr="00B13C17">
        <w:rPr>
          <w:rFonts w:asciiTheme="minorHAnsi" w:hAnsiTheme="minorHAnsi" w:cs="Segoe UI"/>
        </w:rPr>
        <w:t>posted</w:t>
      </w:r>
      <w:r w:rsidR="008E395A" w:rsidRPr="00B13C17">
        <w:rPr>
          <w:rFonts w:asciiTheme="minorHAnsi" w:hAnsiTheme="minorHAnsi" w:cs="Segoe UI"/>
        </w:rPr>
        <w:t xml:space="preserve"> online at</w:t>
      </w:r>
      <w:r w:rsidR="00767F2E" w:rsidRPr="00B13C17">
        <w:rPr>
          <w:rFonts w:asciiTheme="minorHAnsi" w:hAnsiTheme="minorHAnsi" w:cs="Segoe UI"/>
        </w:rPr>
        <w:t xml:space="preserve"> </w:t>
      </w:r>
      <w:hyperlink r:id="rId8" w:history="1">
        <w:r w:rsidR="00350A8A" w:rsidRPr="00B13C17">
          <w:rPr>
            <w:rStyle w:val="Hyperlink"/>
            <w:rFonts w:asciiTheme="minorHAnsi" w:hAnsiTheme="minorHAnsi"/>
          </w:rPr>
          <w:t>http://www.udall.gov/OurPrograms/Institute/ECRReport.aspx</w:t>
        </w:r>
      </w:hyperlink>
      <w:r w:rsidR="00767F2E" w:rsidRPr="00B13C17">
        <w:rPr>
          <w:rFonts w:asciiTheme="minorHAnsi" w:hAnsiTheme="minorHAnsi" w:cs="Segoe UI"/>
        </w:rPr>
        <w:t>.</w:t>
      </w:r>
    </w:p>
    <w:p w14:paraId="48E9EA6C" w14:textId="61BA1D58" w:rsidR="009A438C" w:rsidRPr="00715DD0" w:rsidRDefault="00F231DD" w:rsidP="002456E9">
      <w:pPr>
        <w:pStyle w:val="Heading1"/>
        <w:rPr>
          <w:color w:val="auto"/>
        </w:rPr>
      </w:pPr>
      <w:r w:rsidRPr="00715DD0">
        <w:rPr>
          <w:color w:val="auto"/>
        </w:rPr>
        <w:t xml:space="preserve">ECCR </w:t>
      </w:r>
      <w:r w:rsidR="00C62D30">
        <w:rPr>
          <w:color w:val="auto"/>
        </w:rPr>
        <w:t>Sponsorship,</w:t>
      </w:r>
      <w:r w:rsidR="005047AC" w:rsidRPr="00715DD0">
        <w:rPr>
          <w:color w:val="auto"/>
        </w:rPr>
        <w:t xml:space="preserve"> Participation</w:t>
      </w:r>
      <w:r w:rsidR="00C62D30">
        <w:rPr>
          <w:color w:val="auto"/>
        </w:rPr>
        <w:t>, and Context</w:t>
      </w:r>
    </w:p>
    <w:p w14:paraId="50D30767" w14:textId="031EE443" w:rsidR="00721A82" w:rsidRPr="007233BD" w:rsidRDefault="001B1396" w:rsidP="00992D2F">
      <w:pPr>
        <w:spacing w:after="0" w:line="240" w:lineRule="auto"/>
        <w:rPr>
          <w:b/>
          <w:color w:val="FF0000"/>
        </w:rPr>
      </w:pPr>
      <w:r>
        <w:t>In</w:t>
      </w:r>
      <w:r w:rsidR="00AB5EC4" w:rsidRPr="00992D2F">
        <w:t xml:space="preserve"> </w:t>
      </w:r>
      <w:r w:rsidR="009A2181" w:rsidRPr="00992D2F">
        <w:t xml:space="preserve">FY </w:t>
      </w:r>
      <w:r w:rsidR="001906CE">
        <w:t>2016</w:t>
      </w:r>
      <w:r w:rsidR="009A2181" w:rsidRPr="00992D2F">
        <w:t xml:space="preserve">, </w:t>
      </w:r>
      <w:r w:rsidR="00AB5EC4" w:rsidRPr="00992D2F">
        <w:t>federal departments and agencies reported</w:t>
      </w:r>
      <w:r w:rsidR="006C1F19" w:rsidRPr="00992D2F">
        <w:t xml:space="preserve"> </w:t>
      </w:r>
      <w:r w:rsidR="00D71A04" w:rsidRPr="00D71A04">
        <w:t>36</w:t>
      </w:r>
      <w:r w:rsidR="00343C6A">
        <w:t>8</w:t>
      </w:r>
      <w:r w:rsidR="00B0660A" w:rsidRPr="00D71A04">
        <w:t xml:space="preserve"> </w:t>
      </w:r>
      <w:r w:rsidR="006C1F19" w:rsidRPr="00D71A04">
        <w:t>ECCR cases</w:t>
      </w:r>
      <w:r w:rsidR="006C1F19" w:rsidRPr="00992D2F">
        <w:t xml:space="preserve"> in which they either directly </w:t>
      </w:r>
      <w:r w:rsidR="000F0EE1">
        <w:t>sponsored</w:t>
      </w:r>
      <w:r>
        <w:t xml:space="preserve"> an ECCR process</w:t>
      </w:r>
      <w:r w:rsidR="000F0EE1" w:rsidRPr="00992D2F">
        <w:t xml:space="preserve"> </w:t>
      </w:r>
      <w:r w:rsidR="006C1F19" w:rsidRPr="00992D2F">
        <w:t xml:space="preserve">or participated </w:t>
      </w:r>
      <w:r w:rsidR="00AB5EC4" w:rsidRPr="00992D2F">
        <w:t>in</w:t>
      </w:r>
      <w:r w:rsidR="00240896" w:rsidRPr="00992D2F">
        <w:t xml:space="preserve"> </w:t>
      </w:r>
      <w:r w:rsidR="008C31D6" w:rsidRPr="00992D2F">
        <w:t>a</w:t>
      </w:r>
      <w:r w:rsidR="00240896" w:rsidRPr="00992D2F">
        <w:t xml:space="preserve"> process </w:t>
      </w:r>
      <w:r w:rsidR="0013317D">
        <w:t>sponsored or convened</w:t>
      </w:r>
      <w:r w:rsidR="0013317D" w:rsidRPr="00992D2F">
        <w:t xml:space="preserve"> </w:t>
      </w:r>
      <w:r>
        <w:t xml:space="preserve">by another agency or </w:t>
      </w:r>
      <w:r w:rsidRPr="00E346F8">
        <w:t xml:space="preserve">entity. </w:t>
      </w:r>
      <w:r w:rsidR="006A28ED" w:rsidRPr="00E346F8">
        <w:t xml:space="preserve">Of the </w:t>
      </w:r>
      <w:r w:rsidR="00236E6B" w:rsidRPr="00E346F8">
        <w:t>36</w:t>
      </w:r>
      <w:r w:rsidR="004E0879">
        <w:t>8</w:t>
      </w:r>
      <w:r w:rsidR="00E33E22" w:rsidRPr="00E346F8">
        <w:t xml:space="preserve"> act</w:t>
      </w:r>
      <w:r w:rsidR="006A28ED" w:rsidRPr="00E346F8">
        <w:t xml:space="preserve">ive cases, </w:t>
      </w:r>
      <w:r w:rsidR="00E346F8">
        <w:t>20</w:t>
      </w:r>
      <w:r w:rsidR="00AF11AA">
        <w:t>7</w:t>
      </w:r>
      <w:r w:rsidR="00BE64F7" w:rsidRPr="00E346F8">
        <w:t xml:space="preserve"> </w:t>
      </w:r>
      <w:r w:rsidR="00E346F8">
        <w:t>(56</w:t>
      </w:r>
      <w:r w:rsidR="006A28ED" w:rsidRPr="00E346F8">
        <w:t>%) were completed</w:t>
      </w:r>
      <w:r w:rsidR="00425D90" w:rsidRPr="00E346F8">
        <w:t>,</w:t>
      </w:r>
      <w:r w:rsidR="006A28ED" w:rsidRPr="00E346F8">
        <w:t xml:space="preserve"> and the remaining projects continued into FY 201</w:t>
      </w:r>
      <w:r w:rsidR="00064332" w:rsidRPr="00E346F8">
        <w:t>7</w:t>
      </w:r>
      <w:r w:rsidRPr="00E346F8">
        <w:t xml:space="preserve">. </w:t>
      </w:r>
      <w:r w:rsidR="00BC2A5C" w:rsidRPr="00E346F8">
        <w:t>EPA, DoD, DOI, and FERC</w:t>
      </w:r>
      <w:r w:rsidR="0006103D" w:rsidRPr="00E346F8">
        <w:t xml:space="preserve"> have consistently reported </w:t>
      </w:r>
      <w:r w:rsidR="00425D90" w:rsidRPr="00E346F8">
        <w:t>the highest-</w:t>
      </w:r>
      <w:r w:rsidR="00BF4C7D" w:rsidRPr="00E346F8">
        <w:t>volume involvement in ECCR</w:t>
      </w:r>
      <w:r w:rsidR="007C5424" w:rsidRPr="00E346F8">
        <w:t xml:space="preserve"> since </w:t>
      </w:r>
      <w:r w:rsidR="000A5F40" w:rsidRPr="00E346F8">
        <w:t xml:space="preserve">formal </w:t>
      </w:r>
      <w:r w:rsidR="007C5424" w:rsidRPr="00E346F8">
        <w:t>case reporting bega</w:t>
      </w:r>
      <w:r w:rsidR="00BE64F7" w:rsidRPr="00E346F8">
        <w:t>n in FY 2006</w:t>
      </w:r>
      <w:r w:rsidR="00425D90" w:rsidRPr="00E346F8">
        <w:t>,</w:t>
      </w:r>
      <w:r w:rsidR="007C5424" w:rsidRPr="00E346F8">
        <w:t xml:space="preserve"> </w:t>
      </w:r>
      <w:r w:rsidR="00906ACB" w:rsidRPr="00E346F8">
        <w:t>and</w:t>
      </w:r>
      <w:r w:rsidR="00F86F56" w:rsidRPr="00E346F8">
        <w:t xml:space="preserve"> this trend continued in FY </w:t>
      </w:r>
      <w:r w:rsidR="00EC01B8" w:rsidRPr="00E346F8">
        <w:t>2016</w:t>
      </w:r>
      <w:r w:rsidR="00BF4C7D" w:rsidRPr="00E346F8">
        <w:t xml:space="preserve"> (Figure 1).</w:t>
      </w:r>
      <w:r w:rsidR="00BF4C7D" w:rsidRPr="00064332">
        <w:rPr>
          <w:b/>
        </w:rPr>
        <w:t xml:space="preserve"> </w:t>
      </w:r>
    </w:p>
    <w:p w14:paraId="67BB8FE4" w14:textId="77777777" w:rsidR="005A49FB" w:rsidRPr="007233BD" w:rsidRDefault="005A49FB" w:rsidP="00992D2F">
      <w:pPr>
        <w:spacing w:after="0" w:line="240" w:lineRule="auto"/>
        <w:rPr>
          <w:b/>
          <w:color w:val="FF0000"/>
        </w:rPr>
      </w:pPr>
    </w:p>
    <w:p w14:paraId="3D114227" w14:textId="6F7DF966" w:rsidR="00992D2F" w:rsidRPr="00277EB3" w:rsidRDefault="00715DD0" w:rsidP="00992D2F">
      <w:pPr>
        <w:spacing w:after="0" w:line="240" w:lineRule="auto"/>
      </w:pPr>
      <w:r w:rsidRPr="00277EB3">
        <w:t>Overall, ECCR cases have decreased since FY</w:t>
      </w:r>
      <w:r w:rsidR="00FF7E68">
        <w:t xml:space="preserve"> 20</w:t>
      </w:r>
      <w:r w:rsidRPr="00277EB3">
        <w:t>15</w:t>
      </w:r>
      <w:r w:rsidR="00E94CAB">
        <w:t xml:space="preserve"> (See Figure 1)</w:t>
      </w:r>
      <w:r w:rsidRPr="00277EB3">
        <w:t xml:space="preserve">. This may be in part to the decrease in the amount of agencies reporting </w:t>
      </w:r>
      <w:r w:rsidR="00FF7E68">
        <w:t xml:space="preserve">compared to </w:t>
      </w:r>
      <w:r w:rsidRPr="00277EB3">
        <w:t>previous years</w:t>
      </w:r>
      <w:r w:rsidRPr="00E346F8">
        <w:t>.</w:t>
      </w:r>
      <w:r w:rsidR="00473BF9" w:rsidRPr="00E346F8">
        <w:t xml:space="preserve"> </w:t>
      </w:r>
    </w:p>
    <w:p w14:paraId="6CA97C45" w14:textId="77777777" w:rsidR="00992D2F" w:rsidRPr="007233BD" w:rsidRDefault="00992D2F" w:rsidP="00992D2F">
      <w:pPr>
        <w:spacing w:after="0" w:line="240" w:lineRule="auto"/>
        <w:rPr>
          <w:b/>
          <w:color w:val="FF0000"/>
        </w:rPr>
      </w:pPr>
    </w:p>
    <w:p w14:paraId="7978A05A" w14:textId="77777777" w:rsidR="00250EBE" w:rsidRDefault="00A657BE" w:rsidP="00A657BE">
      <w:pPr>
        <w:spacing w:after="0" w:line="240" w:lineRule="auto"/>
      </w:pPr>
      <w:r w:rsidRPr="00D138D1">
        <w:t xml:space="preserve">Federal departments and agencies also reported on the </w:t>
      </w:r>
      <w:r w:rsidR="00484BED" w:rsidRPr="00D138D1">
        <w:t xml:space="preserve">context </w:t>
      </w:r>
      <w:r w:rsidRPr="00D138D1">
        <w:t xml:space="preserve">in which ECCR was </w:t>
      </w:r>
      <w:r w:rsidR="006F78A7" w:rsidRPr="00D138D1">
        <w:t xml:space="preserve">used </w:t>
      </w:r>
      <w:r w:rsidRPr="00D138D1">
        <w:t xml:space="preserve">most commonly in FY </w:t>
      </w:r>
      <w:r w:rsidR="00D138D1" w:rsidRPr="00D138D1">
        <w:t>2016</w:t>
      </w:r>
      <w:r w:rsidR="00250EBE">
        <w:t xml:space="preserve">. Figure 2 shows the most comment contexts for both assisted and </w:t>
      </w:r>
    </w:p>
    <w:p w14:paraId="67CF47CC" w14:textId="16C5A52B" w:rsidR="00A657BE" w:rsidRPr="00250EBE" w:rsidRDefault="00250EBE" w:rsidP="00A657BE">
      <w:pPr>
        <w:spacing w:after="0" w:line="240" w:lineRule="auto"/>
      </w:pPr>
      <w:r>
        <w:rPr>
          <w:bCs/>
        </w:rPr>
        <w:t>u</w:t>
      </w:r>
      <w:r w:rsidRPr="00250EBE">
        <w:rPr>
          <w:bCs/>
        </w:rPr>
        <w:t>nassisted collaborative activities in FY 2016</w:t>
      </w:r>
      <w:r w:rsidR="00425D90" w:rsidRPr="00250EBE">
        <w:t xml:space="preserve">. </w:t>
      </w:r>
    </w:p>
    <w:p w14:paraId="7F579602" w14:textId="3EAF2253" w:rsidR="00F86F56" w:rsidRPr="00992D2F" w:rsidRDefault="00F86F56" w:rsidP="00992D2F">
      <w:pPr>
        <w:spacing w:after="0" w:line="240" w:lineRule="auto"/>
        <w:rPr>
          <w:noProof/>
        </w:rPr>
      </w:pPr>
    </w:p>
    <w:p w14:paraId="778B7225" w14:textId="77777777" w:rsidR="00A8760B" w:rsidRPr="00992D2F" w:rsidRDefault="00A8760B" w:rsidP="00992D2F">
      <w:pPr>
        <w:spacing w:after="0" w:line="240" w:lineRule="auto"/>
        <w:rPr>
          <w:noProof/>
        </w:rPr>
      </w:pPr>
    </w:p>
    <w:p w14:paraId="0E3637C2" w14:textId="77777777" w:rsidR="00A8760B" w:rsidRDefault="00A8760B" w:rsidP="000E194E">
      <w:pPr>
        <w:spacing w:after="0" w:line="240" w:lineRule="auto"/>
        <w:jc w:val="center"/>
        <w:rPr>
          <w:noProof/>
        </w:rPr>
      </w:pPr>
    </w:p>
    <w:p w14:paraId="5105D375" w14:textId="77777777" w:rsidR="00A8760B" w:rsidRDefault="00A8760B" w:rsidP="000E194E">
      <w:pPr>
        <w:spacing w:after="0" w:line="240" w:lineRule="auto"/>
        <w:jc w:val="center"/>
        <w:rPr>
          <w:noProof/>
        </w:rPr>
      </w:pPr>
    </w:p>
    <w:p w14:paraId="678E225E" w14:textId="77777777" w:rsidR="00A8760B" w:rsidRDefault="00A8760B" w:rsidP="000E194E">
      <w:pPr>
        <w:spacing w:after="0" w:line="240" w:lineRule="auto"/>
        <w:jc w:val="center"/>
        <w:rPr>
          <w:noProof/>
        </w:rPr>
      </w:pPr>
    </w:p>
    <w:p w14:paraId="52C95B72" w14:textId="77777777" w:rsidR="00A8760B" w:rsidRDefault="00A8760B" w:rsidP="000E194E">
      <w:pPr>
        <w:spacing w:after="0" w:line="240" w:lineRule="auto"/>
        <w:jc w:val="center"/>
        <w:rPr>
          <w:noProof/>
        </w:rPr>
      </w:pPr>
    </w:p>
    <w:p w14:paraId="4F3AC648" w14:textId="77777777" w:rsidR="005A49FB" w:rsidRDefault="005A49FB" w:rsidP="007E7ED7">
      <w:pPr>
        <w:spacing w:after="0" w:line="240" w:lineRule="auto"/>
        <w:rPr>
          <w:noProof/>
        </w:rPr>
      </w:pPr>
    </w:p>
    <w:p w14:paraId="6E7610D2" w14:textId="77777777" w:rsidR="005A49FB" w:rsidRDefault="005A49FB" w:rsidP="007E7ED7">
      <w:pPr>
        <w:spacing w:after="0" w:line="240" w:lineRule="auto"/>
        <w:rPr>
          <w:noProof/>
        </w:rPr>
      </w:pPr>
    </w:p>
    <w:p w14:paraId="68A873EA" w14:textId="77777777" w:rsidR="005A49FB" w:rsidRDefault="005A49FB" w:rsidP="007E7ED7">
      <w:pPr>
        <w:spacing w:after="0" w:line="240" w:lineRule="auto"/>
        <w:rPr>
          <w:noProof/>
        </w:rPr>
      </w:pPr>
    </w:p>
    <w:p w14:paraId="445B4822" w14:textId="77777777" w:rsidR="00473BF9" w:rsidRDefault="00473BF9" w:rsidP="00E22F76">
      <w:pPr>
        <w:rPr>
          <w:rFonts w:ascii="Segoe UI" w:eastAsia="Times New Roman" w:hAnsi="Segoe UI" w:cs="Segoe UI"/>
          <w:b/>
          <w:bCs/>
        </w:rPr>
      </w:pPr>
    </w:p>
    <w:p w14:paraId="7BF6EA4D" w14:textId="77777777" w:rsidR="00473BF9" w:rsidRDefault="00473BF9" w:rsidP="00E22F76">
      <w:pPr>
        <w:rPr>
          <w:rFonts w:ascii="Segoe UI" w:eastAsia="Times New Roman" w:hAnsi="Segoe UI" w:cs="Segoe UI"/>
          <w:b/>
          <w:bCs/>
        </w:rPr>
      </w:pPr>
    </w:p>
    <w:p w14:paraId="350435D3" w14:textId="50EB3203" w:rsidR="003F6243" w:rsidRPr="00E22F76" w:rsidRDefault="00A8760B" w:rsidP="00E22F76">
      <w:pPr>
        <w:rPr>
          <w:rFonts w:ascii="Segoe UI" w:eastAsia="Times New Roman" w:hAnsi="Segoe UI" w:cs="Segoe UI"/>
          <w:b/>
          <w:bCs/>
        </w:rPr>
      </w:pPr>
      <w:r w:rsidRPr="00FB079B">
        <w:rPr>
          <w:rFonts w:ascii="Segoe UI" w:eastAsia="Times New Roman" w:hAnsi="Segoe UI" w:cs="Segoe UI"/>
          <w:b/>
          <w:bCs/>
        </w:rPr>
        <w:lastRenderedPageBreak/>
        <w:t>Figure 1.</w:t>
      </w:r>
      <w:r w:rsidRPr="00E22F76">
        <w:rPr>
          <w:rFonts w:ascii="Segoe UI" w:eastAsia="Times New Roman" w:hAnsi="Segoe UI" w:cs="Segoe UI"/>
          <w:b/>
          <w:bCs/>
        </w:rPr>
        <w:t xml:space="preserve"> Distribution of </w:t>
      </w:r>
      <w:r w:rsidR="007164C4">
        <w:rPr>
          <w:rFonts w:ascii="Segoe UI" w:eastAsia="Times New Roman" w:hAnsi="Segoe UI" w:cs="Segoe UI"/>
          <w:b/>
          <w:bCs/>
        </w:rPr>
        <w:t>o</w:t>
      </w:r>
      <w:r w:rsidR="005D7BC4">
        <w:rPr>
          <w:rFonts w:ascii="Segoe UI" w:eastAsia="Times New Roman" w:hAnsi="Segoe UI" w:cs="Segoe UI"/>
          <w:b/>
          <w:bCs/>
        </w:rPr>
        <w:t xml:space="preserve">ngoing </w:t>
      </w:r>
      <w:r w:rsidRPr="00E22F76">
        <w:rPr>
          <w:rFonts w:ascii="Segoe UI" w:eastAsia="Times New Roman" w:hAnsi="Segoe UI" w:cs="Segoe UI"/>
          <w:b/>
          <w:bCs/>
        </w:rPr>
        <w:t>ECCR cases in the federal government</w:t>
      </w:r>
      <w:r w:rsidR="00D11F2E" w:rsidRPr="00E22F76">
        <w:rPr>
          <w:rFonts w:ascii="Segoe UI" w:eastAsia="Times New Roman" w:hAnsi="Segoe UI" w:cs="Segoe UI"/>
          <w:b/>
          <w:bCs/>
        </w:rPr>
        <w:t>,</w:t>
      </w:r>
      <w:r w:rsidRPr="00E22F76">
        <w:rPr>
          <w:rFonts w:ascii="Segoe UI" w:eastAsia="Times New Roman" w:hAnsi="Segoe UI" w:cs="Segoe UI"/>
          <w:b/>
          <w:bCs/>
        </w:rPr>
        <w:t xml:space="preserve"> FY 2007 to FY </w:t>
      </w:r>
      <w:r w:rsidR="00BC244A">
        <w:rPr>
          <w:rFonts w:ascii="Segoe UI" w:eastAsia="Times New Roman" w:hAnsi="Segoe UI" w:cs="Segoe UI"/>
          <w:b/>
          <w:bCs/>
        </w:rPr>
        <w:t>2016</w:t>
      </w:r>
      <w:r w:rsidR="007E7ED7" w:rsidRPr="005A4341">
        <w:rPr>
          <w:rFonts w:ascii="Segoe UI" w:eastAsia="Times New Roman" w:hAnsi="Segoe UI" w:cs="Segoe UI"/>
          <w:bCs/>
          <w:vertAlign w:val="superscript"/>
        </w:rPr>
        <w:footnoteReference w:id="4"/>
      </w:r>
    </w:p>
    <w:p w14:paraId="76EF2486" w14:textId="66CD20B6" w:rsidR="00473867" w:rsidRDefault="00C31CCA" w:rsidP="00992D2F">
      <w:pPr>
        <w:spacing w:after="0" w:line="240" w:lineRule="auto"/>
      </w:pPr>
      <w:bookmarkStart w:id="1" w:name="_Toc373924059"/>
      <w:r>
        <w:rPr>
          <w:noProof/>
        </w:rPr>
        <w:drawing>
          <wp:inline distT="0" distB="0" distL="0" distR="0" wp14:anchorId="666CCFEA" wp14:editId="22C40B93">
            <wp:extent cx="6264613" cy="7286625"/>
            <wp:effectExtent l="0" t="0" r="3175" b="9525"/>
            <wp:docPr id="1" name="Chart 1">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46B3F46" w14:textId="33100389" w:rsidR="000A5F40" w:rsidRPr="00715DD0" w:rsidRDefault="000A5F40" w:rsidP="000A5F40">
      <w:pPr>
        <w:pStyle w:val="Heading1"/>
        <w:rPr>
          <w:color w:val="auto"/>
        </w:rPr>
      </w:pPr>
      <w:r w:rsidRPr="00715DD0">
        <w:rPr>
          <w:color w:val="auto"/>
        </w:rPr>
        <w:lastRenderedPageBreak/>
        <w:t>Contexts for ECCR</w:t>
      </w:r>
    </w:p>
    <w:p w14:paraId="71FA21D5" w14:textId="55932284" w:rsidR="005A49FB" w:rsidRDefault="005A49FB" w:rsidP="00992D2F">
      <w:pPr>
        <w:spacing w:after="0" w:line="240" w:lineRule="auto"/>
      </w:pPr>
    </w:p>
    <w:p w14:paraId="277B0368" w14:textId="0BFBE997" w:rsidR="00EC6334" w:rsidRPr="00715DD0" w:rsidRDefault="00715DD0" w:rsidP="00EC6334">
      <w:pPr>
        <w:rPr>
          <w:rFonts w:ascii="Segoe UI" w:eastAsia="Times New Roman" w:hAnsi="Segoe UI" w:cs="Segoe UI"/>
          <w:b/>
          <w:bCs/>
        </w:rPr>
      </w:pPr>
      <w:bookmarkStart w:id="2" w:name="_Toc373924061"/>
      <w:bookmarkEnd w:id="1"/>
      <w:r w:rsidRPr="00715DD0">
        <w:rPr>
          <w:noProof/>
        </w:rPr>
        <w:drawing>
          <wp:anchor distT="0" distB="0" distL="114300" distR="114300" simplePos="0" relativeHeight="251659264" behindDoc="0" locked="0" layoutInCell="1" allowOverlap="1" wp14:anchorId="464A171B" wp14:editId="5B7F9EA1">
            <wp:simplePos x="0" y="0"/>
            <wp:positionH relativeFrom="margin">
              <wp:posOffset>0</wp:posOffset>
            </wp:positionH>
            <wp:positionV relativeFrom="paragraph">
              <wp:posOffset>575310</wp:posOffset>
            </wp:positionV>
            <wp:extent cx="6096000" cy="3829050"/>
            <wp:effectExtent l="38100" t="1905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EC6334" w:rsidRPr="00715DD0">
        <w:rPr>
          <w:rFonts w:ascii="Segoe UI" w:eastAsia="Times New Roman" w:hAnsi="Segoe UI" w:cs="Segoe UI"/>
          <w:b/>
          <w:bCs/>
        </w:rPr>
        <w:t>Figure 2. Five most commonly cited contexts for ECCR use</w:t>
      </w:r>
      <w:r w:rsidR="00425D90" w:rsidRPr="00715DD0">
        <w:rPr>
          <w:rFonts w:ascii="Segoe UI" w:eastAsia="Times New Roman" w:hAnsi="Segoe UI" w:cs="Segoe UI"/>
          <w:b/>
          <w:bCs/>
        </w:rPr>
        <w:t>,</w:t>
      </w:r>
      <w:r w:rsidR="00EC6334" w:rsidRPr="00715DD0">
        <w:rPr>
          <w:rFonts w:ascii="Segoe UI" w:eastAsia="Times New Roman" w:hAnsi="Segoe UI" w:cs="Segoe UI"/>
          <w:b/>
          <w:bCs/>
        </w:rPr>
        <w:t xml:space="preserve"> in both assisted and unassisted</w:t>
      </w:r>
      <w:r w:rsidR="00EC6334" w:rsidRPr="00715DD0">
        <w:rPr>
          <w:b/>
        </w:rPr>
        <w:t xml:space="preserve"> </w:t>
      </w:r>
      <w:r w:rsidR="00EC6334" w:rsidRPr="00715DD0">
        <w:rPr>
          <w:rFonts w:ascii="Segoe UI" w:eastAsia="Times New Roman" w:hAnsi="Segoe UI" w:cs="Segoe UI"/>
          <w:b/>
          <w:bCs/>
        </w:rPr>
        <w:t>coll</w:t>
      </w:r>
      <w:r w:rsidRPr="00715DD0">
        <w:rPr>
          <w:rFonts w:ascii="Segoe UI" w:eastAsia="Times New Roman" w:hAnsi="Segoe UI" w:cs="Segoe UI"/>
          <w:b/>
          <w:bCs/>
        </w:rPr>
        <w:t xml:space="preserve">aborative activities in FY 2016 </w:t>
      </w:r>
      <w:r w:rsidR="00EC6334" w:rsidRPr="00715DD0">
        <w:rPr>
          <w:rFonts w:ascii="Segoe UI" w:eastAsia="Times New Roman" w:hAnsi="Segoe UI" w:cs="Segoe UI"/>
          <w:b/>
          <w:bCs/>
        </w:rPr>
        <w:t xml:space="preserve">(shown with example topics) </w:t>
      </w:r>
    </w:p>
    <w:p w14:paraId="3821A892" w14:textId="7BBD0289" w:rsidR="00EC6334" w:rsidRPr="00715DD0" w:rsidRDefault="00EC6334" w:rsidP="00715DD0">
      <w:pPr>
        <w:rPr>
          <w:color w:val="FF0000"/>
        </w:rPr>
      </w:pPr>
      <w:r w:rsidRPr="00F0613A">
        <w:rPr>
          <w:color w:val="FF0000"/>
        </w:rPr>
        <w:t xml:space="preserve"> </w:t>
      </w:r>
    </w:p>
    <w:p w14:paraId="609B11E5" w14:textId="36B8EADE" w:rsidR="00EC6334" w:rsidRPr="0006689C" w:rsidRDefault="00EC6334" w:rsidP="00EC6334">
      <w:pPr>
        <w:spacing w:after="0" w:line="240" w:lineRule="auto"/>
      </w:pPr>
      <w:r w:rsidRPr="0006689C">
        <w:t>Federal departments and agencies carry out many activities in support of their missions. Th</w:t>
      </w:r>
      <w:r>
        <w:t>ese activities include planning; rulemaking; policy development; licensing and permit issuance; siting and construction;</w:t>
      </w:r>
      <w:r w:rsidRPr="0006689C">
        <w:t xml:space="preserve"> compliance and enforcement</w:t>
      </w:r>
      <w:r>
        <w:t>;</w:t>
      </w:r>
      <w:r w:rsidRPr="0006689C">
        <w:t xml:space="preserve"> and implementation and monitoring. Some examples of specific agency activities in which ECCR was applied include the following:</w:t>
      </w:r>
    </w:p>
    <w:p w14:paraId="08CD3298" w14:textId="2E0CD90F" w:rsidR="008355F2" w:rsidRDefault="00A72C57" w:rsidP="0027101A">
      <w:pPr>
        <w:numPr>
          <w:ilvl w:val="0"/>
          <w:numId w:val="39"/>
        </w:numPr>
        <w:spacing w:before="120" w:after="0" w:line="240" w:lineRule="auto"/>
      </w:pPr>
      <w:r>
        <w:t>C</w:t>
      </w:r>
      <w:r w:rsidR="00C62DB8">
        <w:t>lean up cost recovery under CERCLA (</w:t>
      </w:r>
      <w:r w:rsidR="00F504E7">
        <w:t>multiple</w:t>
      </w:r>
      <w:r w:rsidR="00C62DB8">
        <w:t>)</w:t>
      </w:r>
      <w:r w:rsidR="00F504E7">
        <w:t>;</w:t>
      </w:r>
    </w:p>
    <w:p w14:paraId="380A58EE" w14:textId="589D3CCE" w:rsidR="00EC6334" w:rsidRDefault="00A72C57" w:rsidP="0027101A">
      <w:pPr>
        <w:numPr>
          <w:ilvl w:val="0"/>
          <w:numId w:val="39"/>
        </w:numPr>
        <w:spacing w:before="120" w:after="0" w:line="240" w:lineRule="auto"/>
      </w:pPr>
      <w:r>
        <w:t>S</w:t>
      </w:r>
      <w:r w:rsidR="00EC6334" w:rsidRPr="00775C58">
        <w:t xml:space="preserve">ite remediation, decontamination, and decommissioning under CERCLA and </w:t>
      </w:r>
      <w:r w:rsidR="005A4341" w:rsidRPr="00775C58">
        <w:t xml:space="preserve">the </w:t>
      </w:r>
      <w:r w:rsidR="00EC6334" w:rsidRPr="00775C58">
        <w:t>R</w:t>
      </w:r>
      <w:r w:rsidR="005A4341" w:rsidRPr="00775C58">
        <w:t xml:space="preserve">esource </w:t>
      </w:r>
      <w:r w:rsidR="00EC6334" w:rsidRPr="00775C58">
        <w:t>C</w:t>
      </w:r>
      <w:r w:rsidR="005A4341" w:rsidRPr="00775C58">
        <w:t xml:space="preserve">onservation and </w:t>
      </w:r>
      <w:r w:rsidR="00EC6334" w:rsidRPr="00775C58">
        <w:t>R</w:t>
      </w:r>
      <w:r w:rsidR="005A4341" w:rsidRPr="00775C58">
        <w:t xml:space="preserve">ecovery </w:t>
      </w:r>
      <w:r w:rsidR="00EC6334" w:rsidRPr="00775C58">
        <w:t>A</w:t>
      </w:r>
      <w:r w:rsidR="005A4341" w:rsidRPr="00775C58">
        <w:t>ct [RCRA]</w:t>
      </w:r>
      <w:r w:rsidR="00EC6334" w:rsidRPr="00775C58">
        <w:t xml:space="preserve"> (</w:t>
      </w:r>
      <w:r w:rsidR="00A16A46">
        <w:t xml:space="preserve">EPA, </w:t>
      </w:r>
      <w:r w:rsidR="00EC6334" w:rsidRPr="00775C58">
        <w:t>DOE)</w:t>
      </w:r>
      <w:r w:rsidR="009B51AA" w:rsidRPr="00775C58">
        <w:t>;</w:t>
      </w:r>
    </w:p>
    <w:p w14:paraId="4A7F0FF5" w14:textId="31B84E96" w:rsidR="00F918ED" w:rsidRDefault="00A72C57" w:rsidP="0027101A">
      <w:pPr>
        <w:numPr>
          <w:ilvl w:val="0"/>
          <w:numId w:val="39"/>
        </w:numPr>
        <w:spacing w:before="120" w:after="0" w:line="240" w:lineRule="auto"/>
      </w:pPr>
      <w:r>
        <w:t>S</w:t>
      </w:r>
      <w:r w:rsidR="00F918ED">
        <w:t>ite-wide RCRA permits (DOE);</w:t>
      </w:r>
    </w:p>
    <w:p w14:paraId="2A762073" w14:textId="57C7DCFC" w:rsidR="00F918ED" w:rsidRDefault="00A72C57" w:rsidP="0027101A">
      <w:pPr>
        <w:numPr>
          <w:ilvl w:val="0"/>
          <w:numId w:val="39"/>
        </w:numPr>
        <w:spacing w:before="120" w:after="0" w:line="240" w:lineRule="auto"/>
      </w:pPr>
      <w:r>
        <w:t>S</w:t>
      </w:r>
      <w:r w:rsidR="00F918ED">
        <w:t>iting transmission lines and research facilitates in compliance with NEPA (DOE);</w:t>
      </w:r>
    </w:p>
    <w:p w14:paraId="2F3E1CAD" w14:textId="08A6464B" w:rsidR="006A0FA8" w:rsidRDefault="00A72C57" w:rsidP="0027101A">
      <w:pPr>
        <w:numPr>
          <w:ilvl w:val="0"/>
          <w:numId w:val="39"/>
        </w:numPr>
        <w:spacing w:before="120" w:after="0" w:line="240" w:lineRule="auto"/>
      </w:pPr>
      <w:r>
        <w:t>P</w:t>
      </w:r>
      <w:r w:rsidR="006A0FA8">
        <w:t>lanning hydropower projects under NEPA (FERC);</w:t>
      </w:r>
      <w:r w:rsidR="006A0FA8" w:rsidRPr="006A0FA8">
        <w:t xml:space="preserve"> </w:t>
      </w:r>
      <w:r w:rsidR="006A0FA8">
        <w:t>n</w:t>
      </w:r>
      <w:r w:rsidR="006A0FA8" w:rsidRPr="0006689C">
        <w:t>atural gas and hydroelectric lic</w:t>
      </w:r>
      <w:r w:rsidR="006A0FA8">
        <w:t>ensing and permitting (FERC);</w:t>
      </w:r>
    </w:p>
    <w:p w14:paraId="3668FD1B" w14:textId="4D340764" w:rsidR="005D4294" w:rsidRDefault="00A72C57" w:rsidP="0027101A">
      <w:pPr>
        <w:numPr>
          <w:ilvl w:val="0"/>
          <w:numId w:val="39"/>
        </w:numPr>
        <w:spacing w:before="120" w:after="0" w:line="240" w:lineRule="auto"/>
      </w:pPr>
      <w:r>
        <w:t>P</w:t>
      </w:r>
      <w:r w:rsidR="005D4294" w:rsidRPr="0006689C">
        <w:t>ublic involvement and community engagement to increase communication and reduce conflict (Army</w:t>
      </w:r>
      <w:r w:rsidR="00A16A46">
        <w:t>, EPA</w:t>
      </w:r>
      <w:r w:rsidR="005D4294" w:rsidRPr="0006689C">
        <w:t>)</w:t>
      </w:r>
      <w:r w:rsidR="005D4294">
        <w:t>;</w:t>
      </w:r>
    </w:p>
    <w:p w14:paraId="40C116F8" w14:textId="3D209706" w:rsidR="00715DD0" w:rsidRDefault="00A72C57" w:rsidP="0027101A">
      <w:pPr>
        <w:numPr>
          <w:ilvl w:val="0"/>
          <w:numId w:val="39"/>
        </w:numPr>
        <w:spacing w:before="120" w:after="0" w:line="240" w:lineRule="auto"/>
      </w:pPr>
      <w:r>
        <w:t>P</w:t>
      </w:r>
      <w:r w:rsidR="00715DD0" w:rsidRPr="0006689C">
        <w:t>lannin</w:t>
      </w:r>
      <w:r w:rsidR="00715DD0">
        <w:t>g and implementation under NEPA</w:t>
      </w:r>
      <w:r w:rsidR="00A16A46">
        <w:t xml:space="preserve"> (EPA) </w:t>
      </w:r>
      <w:r w:rsidR="00715DD0">
        <w:t>and</w:t>
      </w:r>
      <w:r w:rsidR="00715DD0" w:rsidRPr="0006689C">
        <w:t xml:space="preserve"> resource protection under ESA</w:t>
      </w:r>
      <w:r w:rsidR="00715DD0">
        <w:t xml:space="preserve"> (DOI);</w:t>
      </w:r>
    </w:p>
    <w:p w14:paraId="7F7D4DA5" w14:textId="1865FFB9" w:rsidR="00715DD0" w:rsidRPr="00715DD0" w:rsidRDefault="00A72C57" w:rsidP="0027101A">
      <w:pPr>
        <w:numPr>
          <w:ilvl w:val="0"/>
          <w:numId w:val="39"/>
        </w:numPr>
        <w:spacing w:before="120" w:after="0" w:line="240" w:lineRule="auto"/>
      </w:pPr>
      <w:r>
        <w:t>E</w:t>
      </w:r>
      <w:r w:rsidR="00715DD0" w:rsidRPr="00715DD0">
        <w:t>nvironmental justice (EPA);</w:t>
      </w:r>
    </w:p>
    <w:p w14:paraId="3BEB4A73" w14:textId="72C4BD77" w:rsidR="00715DD0" w:rsidRPr="00715DD0" w:rsidRDefault="00A72C57" w:rsidP="0027101A">
      <w:pPr>
        <w:numPr>
          <w:ilvl w:val="0"/>
          <w:numId w:val="39"/>
        </w:numPr>
        <w:spacing w:before="120" w:after="0" w:line="240" w:lineRule="auto"/>
      </w:pPr>
      <w:r>
        <w:lastRenderedPageBreak/>
        <w:t>R</w:t>
      </w:r>
      <w:r w:rsidR="00715DD0" w:rsidRPr="00715DD0">
        <w:t>equirements under CWA, NEPA, and ESA, including water resource protection (</w:t>
      </w:r>
      <w:r w:rsidR="00A16A46">
        <w:t xml:space="preserve">EPA, </w:t>
      </w:r>
      <w:r w:rsidR="00715DD0" w:rsidRPr="00715DD0">
        <w:t>USACE);</w:t>
      </w:r>
    </w:p>
    <w:p w14:paraId="1AAF6DDC" w14:textId="1E811CEA" w:rsidR="008E54B1" w:rsidRDefault="00CB6373" w:rsidP="0027101A">
      <w:pPr>
        <w:numPr>
          <w:ilvl w:val="0"/>
          <w:numId w:val="39"/>
        </w:numPr>
        <w:spacing w:before="120" w:after="0" w:line="240" w:lineRule="auto"/>
      </w:pPr>
      <w:r>
        <w:t xml:space="preserve">Designed Programmatic Agreements with the Advisory Council on Historic Preservation under the NHPA (DOT); </w:t>
      </w:r>
    </w:p>
    <w:p w14:paraId="68F741BF" w14:textId="06C6FB9D" w:rsidR="005D4294" w:rsidRPr="00715DD0" w:rsidRDefault="00A72C57" w:rsidP="0027101A">
      <w:pPr>
        <w:numPr>
          <w:ilvl w:val="0"/>
          <w:numId w:val="39"/>
        </w:numPr>
        <w:spacing w:before="120" w:after="0" w:line="240" w:lineRule="auto"/>
      </w:pPr>
      <w:r>
        <w:t>I</w:t>
      </w:r>
      <w:r w:rsidR="005D4294" w:rsidRPr="00715DD0">
        <w:t>ncreased interagency cooperation and collaboration (multiple); and</w:t>
      </w:r>
    </w:p>
    <w:p w14:paraId="70A23192" w14:textId="25D14170" w:rsidR="005D4294" w:rsidRPr="00715DD0" w:rsidRDefault="00A72C57" w:rsidP="0027101A">
      <w:pPr>
        <w:numPr>
          <w:ilvl w:val="0"/>
          <w:numId w:val="39"/>
        </w:numPr>
        <w:spacing w:before="120" w:after="0" w:line="240" w:lineRule="auto"/>
      </w:pPr>
      <w:r>
        <w:t>E</w:t>
      </w:r>
      <w:r w:rsidR="005D4294" w:rsidRPr="00715DD0">
        <w:t>xpanded efforts in tribal consultation and engagement (multiple).</w:t>
      </w:r>
    </w:p>
    <w:p w14:paraId="2B9E017C" w14:textId="77777777" w:rsidR="00EC6334" w:rsidRPr="00C01814" w:rsidRDefault="00EC6334" w:rsidP="00EC6334">
      <w:pPr>
        <w:spacing w:after="0" w:line="240" w:lineRule="auto"/>
      </w:pPr>
    </w:p>
    <w:p w14:paraId="41752646" w14:textId="57272836" w:rsidR="00EC6334" w:rsidRDefault="00037E74" w:rsidP="00EC6334">
      <w:pPr>
        <w:spacing w:after="0" w:line="240" w:lineRule="auto"/>
      </w:pPr>
      <w:r>
        <w:t>Figure 3</w:t>
      </w:r>
      <w:r w:rsidR="00EC6334" w:rsidRPr="00C01814">
        <w:t xml:space="preserve"> shows specific contexts and agency decision-making forums </w:t>
      </w:r>
      <w:r w:rsidR="00425D90">
        <w:t xml:space="preserve">in </w:t>
      </w:r>
      <w:r w:rsidR="00EC6334" w:rsidRPr="00C01814">
        <w:t xml:space="preserve">which federal departments and agencies used ECCR as a tool </w:t>
      </w:r>
      <w:r w:rsidR="00A36ECD">
        <w:t>in FY 2016</w:t>
      </w:r>
      <w:r w:rsidR="00EC6334" w:rsidRPr="00C01814">
        <w:t>.</w:t>
      </w:r>
    </w:p>
    <w:p w14:paraId="60937BC7" w14:textId="5CC00EFB" w:rsidR="00B13C17" w:rsidRDefault="00B13C17">
      <w:pPr>
        <w:rPr>
          <w:rFonts w:eastAsia="Times New Roman"/>
          <w:b/>
          <w:bCs/>
        </w:rPr>
      </w:pPr>
    </w:p>
    <w:p w14:paraId="1D84A5E0" w14:textId="012EECE8" w:rsidR="009A191A" w:rsidRPr="00D653F8" w:rsidRDefault="00037E74" w:rsidP="00350A8A">
      <w:pPr>
        <w:rPr>
          <w:rFonts w:ascii="Segoe UI" w:eastAsia="Times New Roman" w:hAnsi="Segoe UI" w:cs="Segoe UI"/>
          <w:b/>
          <w:bCs/>
        </w:rPr>
      </w:pPr>
      <w:r w:rsidRPr="00D653F8">
        <w:rPr>
          <w:rFonts w:ascii="Segoe UI" w:eastAsia="Times New Roman" w:hAnsi="Segoe UI" w:cs="Segoe UI"/>
          <w:b/>
          <w:bCs/>
        </w:rPr>
        <w:t>Figure 3</w:t>
      </w:r>
      <w:r w:rsidR="009A191A" w:rsidRPr="00D653F8">
        <w:rPr>
          <w:rFonts w:ascii="Segoe UI" w:eastAsia="Times New Roman" w:hAnsi="Segoe UI" w:cs="Segoe UI"/>
          <w:b/>
          <w:bCs/>
        </w:rPr>
        <w:t xml:space="preserve">. </w:t>
      </w:r>
      <w:r w:rsidR="006B7F20" w:rsidRPr="00D653F8">
        <w:rPr>
          <w:rFonts w:ascii="Segoe UI" w:eastAsia="Times New Roman" w:hAnsi="Segoe UI" w:cs="Segoe UI"/>
          <w:b/>
          <w:bCs/>
        </w:rPr>
        <w:t xml:space="preserve">FY </w:t>
      </w:r>
      <w:r w:rsidR="00A36ECD" w:rsidRPr="00D653F8">
        <w:rPr>
          <w:rFonts w:ascii="Segoe UI" w:eastAsia="Times New Roman" w:hAnsi="Segoe UI" w:cs="Segoe UI"/>
          <w:b/>
          <w:bCs/>
        </w:rPr>
        <w:t>2016</w:t>
      </w:r>
      <w:r w:rsidR="006B7F20" w:rsidRPr="00D653F8">
        <w:rPr>
          <w:rFonts w:ascii="Segoe UI" w:eastAsia="Times New Roman" w:hAnsi="Segoe UI" w:cs="Segoe UI"/>
          <w:b/>
          <w:bCs/>
        </w:rPr>
        <w:t xml:space="preserve"> </w:t>
      </w:r>
      <w:r w:rsidR="00E22F76" w:rsidRPr="00D653F8">
        <w:rPr>
          <w:rFonts w:ascii="Segoe UI" w:eastAsia="Times New Roman" w:hAnsi="Segoe UI" w:cs="Segoe UI"/>
          <w:b/>
          <w:bCs/>
        </w:rPr>
        <w:t>contexts and agency d</w:t>
      </w:r>
      <w:r w:rsidR="00D1102F" w:rsidRPr="00D653F8">
        <w:rPr>
          <w:rFonts w:ascii="Segoe UI" w:eastAsia="Times New Roman" w:hAnsi="Segoe UI" w:cs="Segoe UI"/>
          <w:b/>
          <w:bCs/>
        </w:rPr>
        <w:t>ecision-</w:t>
      </w:r>
      <w:r w:rsidR="00E22F76" w:rsidRPr="00D653F8">
        <w:rPr>
          <w:rFonts w:ascii="Segoe UI" w:eastAsia="Times New Roman" w:hAnsi="Segoe UI" w:cs="Segoe UI"/>
          <w:b/>
          <w:bCs/>
        </w:rPr>
        <w:t>making forums for ECCR a</w:t>
      </w:r>
      <w:r w:rsidR="00D1102F" w:rsidRPr="00D653F8">
        <w:rPr>
          <w:rFonts w:ascii="Segoe UI" w:eastAsia="Times New Roman" w:hAnsi="Segoe UI" w:cs="Segoe UI"/>
          <w:b/>
          <w:bCs/>
        </w:rPr>
        <w:t>pplication</w:t>
      </w:r>
      <w:bookmarkEnd w:id="2"/>
      <w:r w:rsidR="009A191A" w:rsidRPr="00D653F8">
        <w:rPr>
          <w:rFonts w:ascii="Segoe UI" w:eastAsia="Times New Roman" w:hAnsi="Segoe UI" w:cs="Segoe UI"/>
          <w:b/>
          <w:bCs/>
        </w:rPr>
        <w:t xml:space="preserve"> </w:t>
      </w:r>
    </w:p>
    <w:tbl>
      <w:tblPr>
        <w:tblpPr w:leftFromText="180" w:rightFromText="180" w:vertAnchor="text" w:horzAnchor="page" w:tblpX="1429" w:tblpY="14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440"/>
        <w:gridCol w:w="1013"/>
        <w:gridCol w:w="1260"/>
        <w:gridCol w:w="1237"/>
        <w:gridCol w:w="1193"/>
      </w:tblGrid>
      <w:tr w:rsidR="007341B8" w:rsidRPr="00D653F8" w14:paraId="1F088DFA" w14:textId="77777777" w:rsidTr="002A1A9D">
        <w:tc>
          <w:tcPr>
            <w:tcW w:w="3505" w:type="dxa"/>
            <w:vMerge w:val="restart"/>
            <w:shd w:val="clear" w:color="auto" w:fill="auto"/>
            <w:vAlign w:val="bottom"/>
          </w:tcPr>
          <w:p w14:paraId="55322607" w14:textId="77777777" w:rsidR="007341B8" w:rsidRPr="00D653F8" w:rsidRDefault="007341B8" w:rsidP="007341B8">
            <w:pPr>
              <w:spacing w:after="0" w:line="240" w:lineRule="auto"/>
              <w:jc w:val="center"/>
              <w:rPr>
                <w:rFonts w:eastAsia="Times New Roman"/>
                <w:lang w:eastAsia="x-none"/>
              </w:rPr>
            </w:pPr>
          </w:p>
          <w:p w14:paraId="7FE9BB92" w14:textId="77777777" w:rsidR="007341B8" w:rsidRPr="00D653F8" w:rsidRDefault="007341B8" w:rsidP="007341B8">
            <w:pPr>
              <w:spacing w:after="0" w:line="240" w:lineRule="auto"/>
              <w:jc w:val="center"/>
              <w:rPr>
                <w:rFonts w:eastAsia="Times New Roman"/>
                <w:lang w:eastAsia="x-none"/>
              </w:rPr>
            </w:pPr>
          </w:p>
          <w:p w14:paraId="47FFD602" w14:textId="44CDD8DC" w:rsidR="007341B8" w:rsidRPr="00D653F8" w:rsidRDefault="007341B8" w:rsidP="007341B8">
            <w:pPr>
              <w:spacing w:after="0" w:line="240" w:lineRule="auto"/>
              <w:jc w:val="center"/>
              <w:rPr>
                <w:rFonts w:eastAsia="Times New Roman"/>
                <w:b/>
                <w:lang w:eastAsia="x-none"/>
              </w:rPr>
            </w:pPr>
            <w:r w:rsidRPr="00D653F8">
              <w:rPr>
                <w:rFonts w:eastAsia="Times New Roman"/>
                <w:b/>
                <w:lang w:eastAsia="x-none"/>
              </w:rPr>
              <w:t>Contexts for ECCR Applications</w:t>
            </w:r>
          </w:p>
        </w:tc>
        <w:tc>
          <w:tcPr>
            <w:tcW w:w="1440" w:type="dxa"/>
            <w:vMerge w:val="restart"/>
            <w:shd w:val="clear" w:color="auto" w:fill="E7E6E6" w:themeFill="background2"/>
            <w:vAlign w:val="bottom"/>
          </w:tcPr>
          <w:p w14:paraId="3CC1E996" w14:textId="138263EB" w:rsidR="007341B8" w:rsidRPr="00D653F8" w:rsidRDefault="007341B8" w:rsidP="007341B8">
            <w:pPr>
              <w:spacing w:after="0" w:line="240" w:lineRule="auto"/>
              <w:jc w:val="center"/>
              <w:rPr>
                <w:rFonts w:eastAsia="Times New Roman"/>
                <w:lang w:eastAsia="x-none"/>
              </w:rPr>
            </w:pPr>
            <w:r w:rsidRPr="00D653F8">
              <w:rPr>
                <w:rFonts w:eastAsia="Times New Roman"/>
                <w:lang w:eastAsia="x-none"/>
              </w:rPr>
              <w:t>Number and percent of cases by category</w:t>
            </w:r>
          </w:p>
        </w:tc>
        <w:tc>
          <w:tcPr>
            <w:tcW w:w="4703" w:type="dxa"/>
            <w:gridSpan w:val="4"/>
            <w:shd w:val="clear" w:color="auto" w:fill="E7E6E6" w:themeFill="background2"/>
            <w:vAlign w:val="bottom"/>
          </w:tcPr>
          <w:p w14:paraId="6C4E9DCC" w14:textId="4DE73A53" w:rsidR="007341B8" w:rsidRPr="00D653F8" w:rsidRDefault="007341B8" w:rsidP="007341B8">
            <w:pPr>
              <w:spacing w:after="0" w:line="240" w:lineRule="auto"/>
              <w:jc w:val="center"/>
              <w:rPr>
                <w:rFonts w:eastAsia="Times New Roman"/>
                <w:lang w:eastAsia="x-none"/>
              </w:rPr>
            </w:pPr>
            <w:r w:rsidRPr="00D653F8">
              <w:rPr>
                <w:rFonts w:eastAsia="Times New Roman"/>
                <w:lang w:eastAsia="x-none"/>
              </w:rPr>
              <w:t>Agency Decision-Making Forums</w:t>
            </w:r>
          </w:p>
        </w:tc>
      </w:tr>
      <w:tr w:rsidR="00C2555C" w:rsidRPr="00D653F8" w14:paraId="490D7C7D" w14:textId="26ECBAAE" w:rsidTr="00CC4FBC">
        <w:tc>
          <w:tcPr>
            <w:tcW w:w="3505" w:type="dxa"/>
            <w:vMerge/>
            <w:shd w:val="clear" w:color="auto" w:fill="auto"/>
            <w:vAlign w:val="bottom"/>
          </w:tcPr>
          <w:p w14:paraId="04DC4D88" w14:textId="073D4950" w:rsidR="007341B8" w:rsidRPr="00D653F8" w:rsidRDefault="007341B8" w:rsidP="007341B8">
            <w:pPr>
              <w:spacing w:after="0" w:line="240" w:lineRule="auto"/>
              <w:jc w:val="center"/>
              <w:rPr>
                <w:rFonts w:eastAsia="Times New Roman"/>
                <w:lang w:eastAsia="x-none"/>
              </w:rPr>
            </w:pPr>
          </w:p>
        </w:tc>
        <w:tc>
          <w:tcPr>
            <w:tcW w:w="1440" w:type="dxa"/>
            <w:vMerge/>
            <w:shd w:val="clear" w:color="auto" w:fill="E7E6E6" w:themeFill="background2"/>
            <w:vAlign w:val="bottom"/>
          </w:tcPr>
          <w:p w14:paraId="12971501" w14:textId="3EC7D6A6" w:rsidR="007341B8" w:rsidRPr="00D653F8" w:rsidRDefault="007341B8" w:rsidP="007341B8">
            <w:pPr>
              <w:spacing w:after="0" w:line="240" w:lineRule="auto"/>
              <w:jc w:val="center"/>
              <w:rPr>
                <w:rFonts w:eastAsia="Times New Roman"/>
                <w:lang w:eastAsia="x-none"/>
              </w:rPr>
            </w:pPr>
          </w:p>
        </w:tc>
        <w:tc>
          <w:tcPr>
            <w:tcW w:w="1013" w:type="dxa"/>
            <w:shd w:val="clear" w:color="auto" w:fill="E7E6E6" w:themeFill="background2"/>
            <w:vAlign w:val="bottom"/>
          </w:tcPr>
          <w:p w14:paraId="390CE527" w14:textId="26E2DB89" w:rsidR="007341B8" w:rsidRPr="00D653F8" w:rsidRDefault="007341B8" w:rsidP="007341B8">
            <w:pPr>
              <w:spacing w:after="0" w:line="240" w:lineRule="auto"/>
              <w:jc w:val="center"/>
              <w:rPr>
                <w:rFonts w:eastAsia="Times New Roman"/>
                <w:lang w:eastAsia="x-none"/>
              </w:rPr>
            </w:pPr>
            <w:r w:rsidRPr="00D653F8">
              <w:rPr>
                <w:rFonts w:eastAsia="Times New Roman"/>
                <w:lang w:eastAsia="x-none"/>
              </w:rPr>
              <w:t>Federal Agency Decision</w:t>
            </w:r>
          </w:p>
        </w:tc>
        <w:tc>
          <w:tcPr>
            <w:tcW w:w="1260" w:type="dxa"/>
            <w:shd w:val="clear" w:color="auto" w:fill="E7E6E6" w:themeFill="background2"/>
            <w:vAlign w:val="bottom"/>
          </w:tcPr>
          <w:p w14:paraId="2EF160AA" w14:textId="4928A4B9" w:rsidR="007341B8" w:rsidRPr="00D653F8" w:rsidRDefault="007341B8" w:rsidP="007341B8">
            <w:pPr>
              <w:spacing w:after="0" w:line="240" w:lineRule="auto"/>
              <w:jc w:val="center"/>
              <w:rPr>
                <w:rFonts w:eastAsia="Times New Roman"/>
                <w:lang w:eastAsia="x-none"/>
              </w:rPr>
            </w:pPr>
            <w:r w:rsidRPr="00D653F8">
              <w:rPr>
                <w:rFonts w:eastAsia="Times New Roman"/>
                <w:lang w:eastAsia="x-none"/>
              </w:rPr>
              <w:t xml:space="preserve">Admin. </w:t>
            </w:r>
            <w:r w:rsidRPr="00D653F8">
              <w:rPr>
                <w:rFonts w:eastAsia="Times New Roman"/>
                <w:spacing w:val="-16"/>
                <w:lang w:eastAsia="x-none"/>
              </w:rPr>
              <w:t>Proceeding</w:t>
            </w:r>
            <w:r w:rsidRPr="00D653F8">
              <w:rPr>
                <w:rFonts w:eastAsia="Times New Roman"/>
                <w:lang w:eastAsia="x-none"/>
              </w:rPr>
              <w:t>/ Appeal</w:t>
            </w:r>
          </w:p>
        </w:tc>
        <w:tc>
          <w:tcPr>
            <w:tcW w:w="1237" w:type="dxa"/>
            <w:shd w:val="clear" w:color="auto" w:fill="E7E6E6" w:themeFill="background2"/>
            <w:vAlign w:val="bottom"/>
          </w:tcPr>
          <w:p w14:paraId="03603F83" w14:textId="53326572" w:rsidR="007341B8" w:rsidRPr="00D653F8" w:rsidRDefault="007341B8" w:rsidP="007341B8">
            <w:pPr>
              <w:spacing w:after="0" w:line="240" w:lineRule="auto"/>
              <w:jc w:val="center"/>
              <w:rPr>
                <w:rFonts w:eastAsia="Times New Roman"/>
                <w:lang w:eastAsia="x-none"/>
              </w:rPr>
            </w:pPr>
            <w:r w:rsidRPr="00D653F8">
              <w:rPr>
                <w:rFonts w:eastAsia="Times New Roman"/>
                <w:lang w:eastAsia="x-none"/>
              </w:rPr>
              <w:t>Judicial Proceeding</w:t>
            </w:r>
          </w:p>
        </w:tc>
        <w:tc>
          <w:tcPr>
            <w:tcW w:w="1193" w:type="dxa"/>
            <w:shd w:val="clear" w:color="auto" w:fill="E7E6E6" w:themeFill="background2"/>
            <w:vAlign w:val="bottom"/>
          </w:tcPr>
          <w:p w14:paraId="62C26460" w14:textId="4F6AB5FB" w:rsidR="007341B8" w:rsidRPr="00D653F8" w:rsidRDefault="007341B8" w:rsidP="007341B8">
            <w:pPr>
              <w:spacing w:after="0" w:line="240" w:lineRule="auto"/>
              <w:jc w:val="center"/>
              <w:rPr>
                <w:rFonts w:eastAsia="Times New Roman"/>
                <w:lang w:eastAsia="x-none"/>
              </w:rPr>
            </w:pPr>
            <w:r w:rsidRPr="00D653F8">
              <w:rPr>
                <w:rFonts w:eastAsia="Times New Roman"/>
                <w:lang w:eastAsia="x-none"/>
              </w:rPr>
              <w:t>Other</w:t>
            </w:r>
          </w:p>
        </w:tc>
      </w:tr>
      <w:tr w:rsidR="0067629B" w:rsidRPr="00D653F8" w14:paraId="57FB0E6B" w14:textId="74D356AB" w:rsidTr="00CC4FBC">
        <w:tc>
          <w:tcPr>
            <w:tcW w:w="3505" w:type="dxa"/>
            <w:shd w:val="clear" w:color="auto" w:fill="auto"/>
            <w:hideMark/>
          </w:tcPr>
          <w:p w14:paraId="30F49B7F" w14:textId="61F91BB9" w:rsidR="00192068" w:rsidRPr="00D653F8" w:rsidRDefault="00A36ECD" w:rsidP="006B7F20">
            <w:pPr>
              <w:spacing w:after="0" w:line="240" w:lineRule="auto"/>
              <w:rPr>
                <w:rFonts w:eastAsia="Times New Roman"/>
                <w:lang w:eastAsia="x-none"/>
              </w:rPr>
            </w:pPr>
            <w:r w:rsidRPr="00D653F8">
              <w:rPr>
                <w:rFonts w:eastAsia="Times New Roman"/>
                <w:lang w:eastAsia="x-none"/>
              </w:rPr>
              <w:t>Policy development</w:t>
            </w:r>
          </w:p>
        </w:tc>
        <w:tc>
          <w:tcPr>
            <w:tcW w:w="1440" w:type="dxa"/>
            <w:shd w:val="clear" w:color="auto" w:fill="auto"/>
          </w:tcPr>
          <w:p w14:paraId="32FE11BB" w14:textId="3C2C7BC1" w:rsidR="00192068" w:rsidRPr="00D653F8" w:rsidRDefault="00C44043" w:rsidP="000E0EA6">
            <w:pPr>
              <w:spacing w:after="0" w:line="240" w:lineRule="auto"/>
              <w:ind w:right="144"/>
              <w:jc w:val="right"/>
              <w:rPr>
                <w:rFonts w:eastAsia="Times New Roman"/>
                <w:lang w:eastAsia="x-none"/>
              </w:rPr>
            </w:pPr>
            <w:r w:rsidRPr="00D653F8">
              <w:rPr>
                <w:rFonts w:eastAsia="Times New Roman"/>
                <w:lang w:eastAsia="x-none"/>
              </w:rPr>
              <w:t>52</w:t>
            </w:r>
            <w:r w:rsidR="00EC6334" w:rsidRPr="00D653F8">
              <w:rPr>
                <w:rFonts w:eastAsia="Times New Roman"/>
                <w:lang w:eastAsia="x-none"/>
              </w:rPr>
              <w:t xml:space="preserve"> (</w:t>
            </w:r>
            <w:r w:rsidRPr="00D653F8">
              <w:rPr>
                <w:rFonts w:eastAsia="Times New Roman"/>
                <w:lang w:eastAsia="x-none"/>
              </w:rPr>
              <w:t>14</w:t>
            </w:r>
            <w:r w:rsidR="007341B8" w:rsidRPr="00D653F8">
              <w:rPr>
                <w:rFonts w:eastAsia="Times New Roman"/>
                <w:lang w:eastAsia="x-none"/>
              </w:rPr>
              <w:t>%)</w:t>
            </w:r>
          </w:p>
        </w:tc>
        <w:tc>
          <w:tcPr>
            <w:tcW w:w="1013" w:type="dxa"/>
            <w:shd w:val="clear" w:color="auto" w:fill="auto"/>
          </w:tcPr>
          <w:p w14:paraId="5C4FB687" w14:textId="0B83344F" w:rsidR="00192068" w:rsidRPr="00D653F8" w:rsidRDefault="00C44043" w:rsidP="000E0EA6">
            <w:pPr>
              <w:spacing w:after="0" w:line="240" w:lineRule="auto"/>
              <w:ind w:right="288"/>
              <w:jc w:val="right"/>
              <w:rPr>
                <w:rFonts w:eastAsia="Times New Roman"/>
                <w:lang w:eastAsia="x-none"/>
              </w:rPr>
            </w:pPr>
            <w:r w:rsidRPr="00D653F8">
              <w:rPr>
                <w:rFonts w:eastAsia="Times New Roman"/>
                <w:lang w:eastAsia="x-none"/>
              </w:rPr>
              <w:t>20</w:t>
            </w:r>
          </w:p>
        </w:tc>
        <w:tc>
          <w:tcPr>
            <w:tcW w:w="1260" w:type="dxa"/>
            <w:shd w:val="clear" w:color="auto" w:fill="auto"/>
          </w:tcPr>
          <w:p w14:paraId="53A9DD5E" w14:textId="63D9A097" w:rsidR="00192068" w:rsidRPr="00D653F8" w:rsidRDefault="00A36ECD" w:rsidP="00981B28">
            <w:pPr>
              <w:spacing w:after="0" w:line="240" w:lineRule="auto"/>
              <w:ind w:right="288"/>
              <w:jc w:val="center"/>
              <w:rPr>
                <w:rFonts w:eastAsia="Times New Roman"/>
                <w:lang w:eastAsia="x-none"/>
              </w:rPr>
            </w:pPr>
            <w:r w:rsidRPr="00D653F8">
              <w:rPr>
                <w:rFonts w:eastAsia="Times New Roman"/>
                <w:lang w:eastAsia="x-none"/>
              </w:rPr>
              <w:t>0</w:t>
            </w:r>
          </w:p>
        </w:tc>
        <w:tc>
          <w:tcPr>
            <w:tcW w:w="1237" w:type="dxa"/>
            <w:shd w:val="clear" w:color="auto" w:fill="auto"/>
          </w:tcPr>
          <w:p w14:paraId="57A29307" w14:textId="7C283564" w:rsidR="00192068" w:rsidRPr="00D653F8" w:rsidRDefault="00A36ECD" w:rsidP="00981B28">
            <w:pPr>
              <w:spacing w:after="0" w:line="240" w:lineRule="auto"/>
              <w:ind w:right="288"/>
              <w:jc w:val="center"/>
              <w:rPr>
                <w:rFonts w:eastAsia="Times New Roman"/>
                <w:lang w:eastAsia="x-none"/>
              </w:rPr>
            </w:pPr>
            <w:r w:rsidRPr="00D653F8">
              <w:rPr>
                <w:rFonts w:eastAsia="Times New Roman"/>
                <w:lang w:eastAsia="x-none"/>
              </w:rPr>
              <w:t>0</w:t>
            </w:r>
          </w:p>
        </w:tc>
        <w:tc>
          <w:tcPr>
            <w:tcW w:w="1193" w:type="dxa"/>
            <w:shd w:val="clear" w:color="auto" w:fill="auto"/>
          </w:tcPr>
          <w:p w14:paraId="6AB0C3F2" w14:textId="638FBF7C" w:rsidR="00192068" w:rsidRPr="00D653F8" w:rsidRDefault="00A36ECD" w:rsidP="00981B28">
            <w:pPr>
              <w:spacing w:after="0" w:line="240" w:lineRule="auto"/>
              <w:ind w:right="288"/>
              <w:jc w:val="center"/>
              <w:rPr>
                <w:rFonts w:eastAsia="Times New Roman"/>
                <w:lang w:eastAsia="x-none"/>
              </w:rPr>
            </w:pPr>
            <w:r w:rsidRPr="00D653F8">
              <w:rPr>
                <w:rFonts w:eastAsia="Times New Roman"/>
                <w:lang w:eastAsia="x-none"/>
              </w:rPr>
              <w:t>32</w:t>
            </w:r>
          </w:p>
        </w:tc>
      </w:tr>
      <w:tr w:rsidR="00EC6334" w:rsidRPr="00D653F8" w14:paraId="730A056A" w14:textId="77777777" w:rsidTr="00CC4FBC">
        <w:tc>
          <w:tcPr>
            <w:tcW w:w="3505" w:type="dxa"/>
            <w:shd w:val="clear" w:color="auto" w:fill="auto"/>
          </w:tcPr>
          <w:p w14:paraId="2A3A9B4E" w14:textId="49395251" w:rsidR="00EC6334" w:rsidRPr="00D653F8" w:rsidRDefault="00A36ECD" w:rsidP="006B7F20">
            <w:pPr>
              <w:spacing w:after="0" w:line="240" w:lineRule="auto"/>
              <w:rPr>
                <w:rFonts w:eastAsia="Times New Roman"/>
                <w:lang w:eastAsia="x-none"/>
              </w:rPr>
            </w:pPr>
            <w:r w:rsidRPr="00D653F8">
              <w:rPr>
                <w:rFonts w:eastAsia="Times New Roman"/>
                <w:lang w:eastAsia="x-none"/>
              </w:rPr>
              <w:t>Planning</w:t>
            </w:r>
          </w:p>
        </w:tc>
        <w:tc>
          <w:tcPr>
            <w:tcW w:w="1440" w:type="dxa"/>
            <w:shd w:val="clear" w:color="auto" w:fill="auto"/>
          </w:tcPr>
          <w:p w14:paraId="2564C34D" w14:textId="6C385482" w:rsidR="00EC6334" w:rsidRPr="00D653F8" w:rsidRDefault="00780462" w:rsidP="000E0EA6">
            <w:pPr>
              <w:spacing w:after="0" w:line="240" w:lineRule="auto"/>
              <w:ind w:right="144"/>
              <w:jc w:val="right"/>
              <w:rPr>
                <w:rFonts w:eastAsia="Times New Roman"/>
                <w:lang w:eastAsia="x-none"/>
              </w:rPr>
            </w:pPr>
            <w:r>
              <w:rPr>
                <w:rFonts w:eastAsia="Times New Roman"/>
                <w:lang w:eastAsia="x-none"/>
              </w:rPr>
              <w:t>90 (24</w:t>
            </w:r>
            <w:r w:rsidR="00A36ECD" w:rsidRPr="00D653F8">
              <w:rPr>
                <w:rFonts w:eastAsia="Times New Roman"/>
                <w:lang w:eastAsia="x-none"/>
              </w:rPr>
              <w:t>%)</w:t>
            </w:r>
          </w:p>
        </w:tc>
        <w:tc>
          <w:tcPr>
            <w:tcW w:w="1013" w:type="dxa"/>
            <w:shd w:val="clear" w:color="auto" w:fill="auto"/>
          </w:tcPr>
          <w:p w14:paraId="25A521CA" w14:textId="14DA0171" w:rsidR="00EC6334" w:rsidRPr="00D653F8" w:rsidRDefault="00796BE2" w:rsidP="000E0EA6">
            <w:pPr>
              <w:spacing w:after="0" w:line="240" w:lineRule="auto"/>
              <w:ind w:right="288"/>
              <w:jc w:val="right"/>
              <w:rPr>
                <w:rFonts w:eastAsia="Times New Roman"/>
                <w:lang w:eastAsia="x-none"/>
              </w:rPr>
            </w:pPr>
            <w:r>
              <w:rPr>
                <w:rFonts w:eastAsia="Times New Roman"/>
                <w:lang w:eastAsia="x-none"/>
              </w:rPr>
              <w:t>50</w:t>
            </w:r>
          </w:p>
        </w:tc>
        <w:tc>
          <w:tcPr>
            <w:tcW w:w="1260" w:type="dxa"/>
            <w:shd w:val="clear" w:color="auto" w:fill="auto"/>
          </w:tcPr>
          <w:p w14:paraId="4B0DFA6E" w14:textId="1EE974C2" w:rsidR="00EC6334" w:rsidRPr="00D653F8" w:rsidRDefault="00A36ECD" w:rsidP="00981B28">
            <w:pPr>
              <w:spacing w:after="0" w:line="240" w:lineRule="auto"/>
              <w:ind w:right="288"/>
              <w:jc w:val="center"/>
              <w:rPr>
                <w:rFonts w:eastAsia="Times New Roman"/>
                <w:lang w:eastAsia="x-none"/>
              </w:rPr>
            </w:pPr>
            <w:r w:rsidRPr="00D653F8">
              <w:rPr>
                <w:rFonts w:eastAsia="Times New Roman"/>
                <w:lang w:eastAsia="x-none"/>
              </w:rPr>
              <w:t>0</w:t>
            </w:r>
          </w:p>
        </w:tc>
        <w:tc>
          <w:tcPr>
            <w:tcW w:w="1237" w:type="dxa"/>
            <w:shd w:val="clear" w:color="auto" w:fill="auto"/>
          </w:tcPr>
          <w:p w14:paraId="724D22B4" w14:textId="180D40D0" w:rsidR="00EC6334" w:rsidRPr="00D653F8" w:rsidRDefault="00061467" w:rsidP="00981B28">
            <w:pPr>
              <w:spacing w:after="0" w:line="240" w:lineRule="auto"/>
              <w:ind w:right="288"/>
              <w:jc w:val="center"/>
              <w:rPr>
                <w:rFonts w:eastAsia="Times New Roman"/>
                <w:lang w:eastAsia="x-none"/>
              </w:rPr>
            </w:pPr>
            <w:r>
              <w:rPr>
                <w:rFonts w:eastAsia="Times New Roman"/>
                <w:lang w:eastAsia="x-none"/>
              </w:rPr>
              <w:t>2</w:t>
            </w:r>
          </w:p>
        </w:tc>
        <w:tc>
          <w:tcPr>
            <w:tcW w:w="1193" w:type="dxa"/>
            <w:shd w:val="clear" w:color="auto" w:fill="auto"/>
          </w:tcPr>
          <w:p w14:paraId="14393DF1" w14:textId="10BEFF74" w:rsidR="00EC6334" w:rsidRPr="00D653F8" w:rsidRDefault="00A36ECD" w:rsidP="00981B28">
            <w:pPr>
              <w:spacing w:after="0" w:line="240" w:lineRule="auto"/>
              <w:ind w:right="288"/>
              <w:jc w:val="center"/>
              <w:rPr>
                <w:rFonts w:eastAsia="Times New Roman"/>
                <w:lang w:eastAsia="x-none"/>
              </w:rPr>
            </w:pPr>
            <w:r w:rsidRPr="00D653F8">
              <w:rPr>
                <w:rFonts w:eastAsia="Times New Roman"/>
                <w:lang w:eastAsia="x-none"/>
              </w:rPr>
              <w:t>38</w:t>
            </w:r>
          </w:p>
        </w:tc>
      </w:tr>
      <w:tr w:rsidR="0067629B" w:rsidRPr="00D653F8" w14:paraId="3C5EAAFB" w14:textId="21138DBE" w:rsidTr="00CC4FBC">
        <w:tc>
          <w:tcPr>
            <w:tcW w:w="3505" w:type="dxa"/>
            <w:shd w:val="clear" w:color="auto" w:fill="auto"/>
            <w:hideMark/>
          </w:tcPr>
          <w:p w14:paraId="13FFE878" w14:textId="38BE7DAE" w:rsidR="00192068" w:rsidRPr="00D653F8" w:rsidRDefault="00A36ECD" w:rsidP="006B7F20">
            <w:pPr>
              <w:spacing w:after="0" w:line="240" w:lineRule="auto"/>
              <w:rPr>
                <w:rFonts w:eastAsia="Times New Roman"/>
                <w:lang w:eastAsia="x-none"/>
              </w:rPr>
            </w:pPr>
            <w:r w:rsidRPr="00D653F8">
              <w:rPr>
                <w:rFonts w:eastAsia="Times New Roman"/>
                <w:lang w:eastAsia="x-none"/>
              </w:rPr>
              <w:t>Siting and construction</w:t>
            </w:r>
          </w:p>
        </w:tc>
        <w:tc>
          <w:tcPr>
            <w:tcW w:w="1440" w:type="dxa"/>
            <w:shd w:val="clear" w:color="auto" w:fill="auto"/>
          </w:tcPr>
          <w:p w14:paraId="5B85F040" w14:textId="27EEBA30" w:rsidR="00192068" w:rsidRPr="00D653F8" w:rsidRDefault="00780462" w:rsidP="000E0EA6">
            <w:pPr>
              <w:spacing w:after="0" w:line="240" w:lineRule="auto"/>
              <w:ind w:right="144"/>
              <w:jc w:val="right"/>
              <w:rPr>
                <w:rFonts w:eastAsia="Times New Roman"/>
                <w:lang w:eastAsia="x-none"/>
              </w:rPr>
            </w:pPr>
            <w:r>
              <w:rPr>
                <w:rFonts w:eastAsia="Times New Roman"/>
                <w:lang w:eastAsia="x-none"/>
              </w:rPr>
              <w:t>79 (21</w:t>
            </w:r>
            <w:r w:rsidR="00A36ECD" w:rsidRPr="00D653F8">
              <w:rPr>
                <w:rFonts w:eastAsia="Times New Roman"/>
                <w:lang w:eastAsia="x-none"/>
              </w:rPr>
              <w:t>%)</w:t>
            </w:r>
          </w:p>
        </w:tc>
        <w:tc>
          <w:tcPr>
            <w:tcW w:w="1013" w:type="dxa"/>
            <w:shd w:val="clear" w:color="auto" w:fill="auto"/>
          </w:tcPr>
          <w:p w14:paraId="3250E15A" w14:textId="2F51CFA3" w:rsidR="00192068" w:rsidRPr="00D653F8" w:rsidRDefault="00C44043" w:rsidP="000E0EA6">
            <w:pPr>
              <w:spacing w:after="0" w:line="240" w:lineRule="auto"/>
              <w:ind w:right="288"/>
              <w:jc w:val="right"/>
              <w:rPr>
                <w:rFonts w:eastAsia="Times New Roman"/>
                <w:lang w:eastAsia="x-none"/>
              </w:rPr>
            </w:pPr>
            <w:r w:rsidRPr="00D653F8">
              <w:rPr>
                <w:rFonts w:eastAsia="Times New Roman"/>
                <w:lang w:eastAsia="x-none"/>
              </w:rPr>
              <w:t>74</w:t>
            </w:r>
          </w:p>
        </w:tc>
        <w:tc>
          <w:tcPr>
            <w:tcW w:w="1260" w:type="dxa"/>
            <w:shd w:val="clear" w:color="auto" w:fill="auto"/>
          </w:tcPr>
          <w:p w14:paraId="7BF83AF0" w14:textId="2E128360" w:rsidR="00192068" w:rsidRPr="00D653F8" w:rsidRDefault="00A36ECD" w:rsidP="00981B28">
            <w:pPr>
              <w:spacing w:after="0" w:line="240" w:lineRule="auto"/>
              <w:ind w:right="288"/>
              <w:jc w:val="center"/>
              <w:rPr>
                <w:rFonts w:eastAsia="Times New Roman"/>
                <w:lang w:eastAsia="x-none"/>
              </w:rPr>
            </w:pPr>
            <w:r w:rsidRPr="00D653F8">
              <w:rPr>
                <w:rFonts w:eastAsia="Times New Roman"/>
                <w:lang w:eastAsia="x-none"/>
              </w:rPr>
              <w:t>0</w:t>
            </w:r>
          </w:p>
        </w:tc>
        <w:tc>
          <w:tcPr>
            <w:tcW w:w="1237" w:type="dxa"/>
            <w:shd w:val="clear" w:color="auto" w:fill="auto"/>
          </w:tcPr>
          <w:p w14:paraId="4E2BAA1C" w14:textId="0AF2FF69" w:rsidR="00192068" w:rsidRPr="00D653F8" w:rsidRDefault="00A36ECD" w:rsidP="00981B28">
            <w:pPr>
              <w:spacing w:after="0" w:line="240" w:lineRule="auto"/>
              <w:ind w:right="288"/>
              <w:jc w:val="center"/>
              <w:rPr>
                <w:rFonts w:eastAsia="Times New Roman"/>
                <w:lang w:eastAsia="x-none"/>
              </w:rPr>
            </w:pPr>
            <w:r w:rsidRPr="00D653F8">
              <w:rPr>
                <w:rFonts w:eastAsia="Times New Roman"/>
                <w:lang w:eastAsia="x-none"/>
              </w:rPr>
              <w:t>4</w:t>
            </w:r>
          </w:p>
        </w:tc>
        <w:tc>
          <w:tcPr>
            <w:tcW w:w="1193" w:type="dxa"/>
            <w:shd w:val="clear" w:color="auto" w:fill="auto"/>
          </w:tcPr>
          <w:p w14:paraId="063163C8" w14:textId="144F6075" w:rsidR="00192068" w:rsidRPr="00D653F8" w:rsidRDefault="00A36ECD" w:rsidP="00981B28">
            <w:pPr>
              <w:spacing w:after="0" w:line="240" w:lineRule="auto"/>
              <w:ind w:right="288"/>
              <w:jc w:val="center"/>
              <w:rPr>
                <w:rFonts w:eastAsia="Times New Roman"/>
                <w:lang w:eastAsia="x-none"/>
              </w:rPr>
            </w:pPr>
            <w:r w:rsidRPr="00D653F8">
              <w:rPr>
                <w:rFonts w:eastAsia="Times New Roman"/>
                <w:lang w:eastAsia="x-none"/>
              </w:rPr>
              <w:t>1</w:t>
            </w:r>
          </w:p>
        </w:tc>
      </w:tr>
      <w:tr w:rsidR="0067629B" w:rsidRPr="00D653F8" w14:paraId="6F9C67C0" w14:textId="6915026F" w:rsidTr="00CC4FBC">
        <w:tc>
          <w:tcPr>
            <w:tcW w:w="3505" w:type="dxa"/>
            <w:shd w:val="clear" w:color="auto" w:fill="auto"/>
            <w:hideMark/>
          </w:tcPr>
          <w:p w14:paraId="3DB5202F" w14:textId="2CF523FD" w:rsidR="00192068" w:rsidRPr="00D653F8" w:rsidRDefault="00A36ECD" w:rsidP="006B7F20">
            <w:pPr>
              <w:spacing w:after="0" w:line="240" w:lineRule="auto"/>
              <w:rPr>
                <w:rFonts w:eastAsia="Times New Roman"/>
                <w:lang w:eastAsia="x-none"/>
              </w:rPr>
            </w:pPr>
            <w:r w:rsidRPr="00D653F8">
              <w:rPr>
                <w:rFonts w:eastAsia="Times New Roman"/>
                <w:lang w:eastAsia="x-none"/>
              </w:rPr>
              <w:t>Rulemaking</w:t>
            </w:r>
          </w:p>
        </w:tc>
        <w:tc>
          <w:tcPr>
            <w:tcW w:w="1440" w:type="dxa"/>
            <w:shd w:val="clear" w:color="auto" w:fill="auto"/>
          </w:tcPr>
          <w:p w14:paraId="68A07B05" w14:textId="512F7276" w:rsidR="00192068" w:rsidRPr="00D653F8" w:rsidRDefault="00C44043" w:rsidP="000E0EA6">
            <w:pPr>
              <w:spacing w:after="0" w:line="240" w:lineRule="auto"/>
              <w:ind w:right="144"/>
              <w:jc w:val="right"/>
              <w:rPr>
                <w:rFonts w:eastAsia="Times New Roman"/>
                <w:lang w:eastAsia="x-none"/>
              </w:rPr>
            </w:pPr>
            <w:r w:rsidRPr="00D653F8">
              <w:rPr>
                <w:rFonts w:eastAsia="Times New Roman"/>
                <w:lang w:eastAsia="x-none"/>
              </w:rPr>
              <w:t>10</w:t>
            </w:r>
            <w:r w:rsidR="00A36ECD" w:rsidRPr="00D653F8">
              <w:rPr>
                <w:rFonts w:eastAsia="Times New Roman"/>
                <w:lang w:eastAsia="x-none"/>
              </w:rPr>
              <w:t xml:space="preserve"> (</w:t>
            </w:r>
            <w:r w:rsidRPr="00D653F8">
              <w:rPr>
                <w:rFonts w:eastAsia="Times New Roman"/>
                <w:lang w:eastAsia="x-none"/>
              </w:rPr>
              <w:t>3</w:t>
            </w:r>
            <w:r w:rsidR="00A36ECD" w:rsidRPr="00D653F8">
              <w:rPr>
                <w:rFonts w:eastAsia="Times New Roman"/>
                <w:lang w:eastAsia="x-none"/>
              </w:rPr>
              <w:t>%)</w:t>
            </w:r>
          </w:p>
        </w:tc>
        <w:tc>
          <w:tcPr>
            <w:tcW w:w="1013" w:type="dxa"/>
            <w:shd w:val="clear" w:color="auto" w:fill="auto"/>
          </w:tcPr>
          <w:p w14:paraId="1C51D036" w14:textId="4BFDA26C" w:rsidR="00192068" w:rsidRPr="00D653F8" w:rsidRDefault="00C44043" w:rsidP="000E0EA6">
            <w:pPr>
              <w:spacing w:after="0" w:line="240" w:lineRule="auto"/>
              <w:ind w:right="288"/>
              <w:jc w:val="right"/>
              <w:rPr>
                <w:rFonts w:eastAsia="Times New Roman"/>
                <w:lang w:eastAsia="x-none"/>
              </w:rPr>
            </w:pPr>
            <w:r w:rsidRPr="00D653F8">
              <w:rPr>
                <w:rFonts w:eastAsia="Times New Roman"/>
                <w:lang w:eastAsia="x-none"/>
              </w:rPr>
              <w:t>10</w:t>
            </w:r>
          </w:p>
        </w:tc>
        <w:tc>
          <w:tcPr>
            <w:tcW w:w="1260" w:type="dxa"/>
            <w:shd w:val="clear" w:color="auto" w:fill="auto"/>
          </w:tcPr>
          <w:p w14:paraId="6E8074A5" w14:textId="7497F202" w:rsidR="00192068" w:rsidRPr="00D653F8" w:rsidRDefault="00A36ECD" w:rsidP="00981B28">
            <w:pPr>
              <w:spacing w:after="0" w:line="240" w:lineRule="auto"/>
              <w:ind w:right="288"/>
              <w:jc w:val="center"/>
              <w:rPr>
                <w:rFonts w:eastAsia="Times New Roman"/>
                <w:lang w:eastAsia="x-none"/>
              </w:rPr>
            </w:pPr>
            <w:r w:rsidRPr="00D653F8">
              <w:rPr>
                <w:rFonts w:eastAsia="Times New Roman"/>
                <w:lang w:eastAsia="x-none"/>
              </w:rPr>
              <w:t>0</w:t>
            </w:r>
          </w:p>
        </w:tc>
        <w:tc>
          <w:tcPr>
            <w:tcW w:w="1237" w:type="dxa"/>
            <w:shd w:val="clear" w:color="auto" w:fill="auto"/>
          </w:tcPr>
          <w:p w14:paraId="2D9FDEC9" w14:textId="46DA8B34" w:rsidR="00192068" w:rsidRPr="00D653F8" w:rsidRDefault="00A36ECD" w:rsidP="00981B28">
            <w:pPr>
              <w:spacing w:after="0" w:line="240" w:lineRule="auto"/>
              <w:ind w:right="288"/>
              <w:jc w:val="center"/>
              <w:rPr>
                <w:rFonts w:eastAsia="Times New Roman"/>
                <w:lang w:eastAsia="x-none"/>
              </w:rPr>
            </w:pPr>
            <w:r w:rsidRPr="00D653F8">
              <w:rPr>
                <w:rFonts w:eastAsia="Times New Roman"/>
                <w:lang w:eastAsia="x-none"/>
              </w:rPr>
              <w:t>0</w:t>
            </w:r>
          </w:p>
        </w:tc>
        <w:tc>
          <w:tcPr>
            <w:tcW w:w="1193" w:type="dxa"/>
            <w:shd w:val="clear" w:color="auto" w:fill="auto"/>
          </w:tcPr>
          <w:p w14:paraId="660B52C9" w14:textId="79C4EC3B" w:rsidR="00192068" w:rsidRPr="00D653F8" w:rsidRDefault="00A36ECD" w:rsidP="00981B28">
            <w:pPr>
              <w:spacing w:after="0" w:line="240" w:lineRule="auto"/>
              <w:ind w:right="288"/>
              <w:jc w:val="center"/>
              <w:rPr>
                <w:rFonts w:eastAsia="Times New Roman"/>
                <w:lang w:eastAsia="x-none"/>
              </w:rPr>
            </w:pPr>
            <w:r w:rsidRPr="00D653F8">
              <w:rPr>
                <w:rFonts w:eastAsia="Times New Roman"/>
                <w:lang w:eastAsia="x-none"/>
              </w:rPr>
              <w:t>0</w:t>
            </w:r>
          </w:p>
        </w:tc>
      </w:tr>
      <w:tr w:rsidR="0052545D" w:rsidRPr="00D653F8" w14:paraId="7A2241D9" w14:textId="77777777" w:rsidTr="00CC4FBC">
        <w:tc>
          <w:tcPr>
            <w:tcW w:w="3505" w:type="dxa"/>
            <w:shd w:val="clear" w:color="auto" w:fill="auto"/>
          </w:tcPr>
          <w:p w14:paraId="24E00E91" w14:textId="7548D370" w:rsidR="0052545D" w:rsidRPr="00D653F8" w:rsidRDefault="00A36ECD" w:rsidP="006B7F20">
            <w:pPr>
              <w:spacing w:after="0" w:line="240" w:lineRule="auto"/>
              <w:rPr>
                <w:rFonts w:eastAsia="Times New Roman"/>
                <w:lang w:eastAsia="x-none"/>
              </w:rPr>
            </w:pPr>
            <w:r w:rsidRPr="00D653F8">
              <w:rPr>
                <w:rFonts w:eastAsia="Times New Roman"/>
                <w:lang w:eastAsia="x-none"/>
              </w:rPr>
              <w:t>License and permit issuance</w:t>
            </w:r>
          </w:p>
        </w:tc>
        <w:tc>
          <w:tcPr>
            <w:tcW w:w="1440" w:type="dxa"/>
            <w:shd w:val="clear" w:color="auto" w:fill="auto"/>
          </w:tcPr>
          <w:p w14:paraId="429BA56C" w14:textId="2CF4F05A" w:rsidR="0052545D" w:rsidRPr="00D653F8" w:rsidRDefault="00A36ECD" w:rsidP="00A36ECD">
            <w:pPr>
              <w:spacing w:after="0" w:line="240" w:lineRule="auto"/>
              <w:ind w:right="144"/>
              <w:rPr>
                <w:rFonts w:eastAsia="Times New Roman"/>
                <w:lang w:eastAsia="x-none"/>
              </w:rPr>
            </w:pPr>
            <w:r w:rsidRPr="00D653F8">
              <w:rPr>
                <w:rFonts w:eastAsia="Times New Roman"/>
                <w:lang w:eastAsia="x-none"/>
              </w:rPr>
              <w:t xml:space="preserve">  </w:t>
            </w:r>
            <w:r w:rsidR="002A1A9D" w:rsidRPr="00D653F8">
              <w:rPr>
                <w:rFonts w:eastAsia="Times New Roman"/>
                <w:lang w:eastAsia="x-none"/>
              </w:rPr>
              <w:t xml:space="preserve">      </w:t>
            </w:r>
            <w:r w:rsidR="00780462">
              <w:rPr>
                <w:rFonts w:eastAsia="Times New Roman"/>
                <w:lang w:eastAsia="x-none"/>
              </w:rPr>
              <w:t>14</w:t>
            </w:r>
            <w:r w:rsidRPr="00D653F8">
              <w:rPr>
                <w:rFonts w:eastAsia="Times New Roman"/>
                <w:lang w:eastAsia="x-none"/>
              </w:rPr>
              <w:t xml:space="preserve"> </w:t>
            </w:r>
            <w:r w:rsidR="00C44043" w:rsidRPr="00D653F8">
              <w:rPr>
                <w:rFonts w:eastAsia="Times New Roman"/>
                <w:lang w:eastAsia="x-none"/>
              </w:rPr>
              <w:t>(</w:t>
            </w:r>
            <w:r w:rsidR="00780462">
              <w:rPr>
                <w:rFonts w:eastAsia="Times New Roman"/>
                <w:lang w:eastAsia="x-none"/>
              </w:rPr>
              <w:t>4</w:t>
            </w:r>
            <w:r w:rsidR="00671AA9" w:rsidRPr="00D653F8">
              <w:rPr>
                <w:rFonts w:eastAsia="Times New Roman"/>
                <w:lang w:eastAsia="x-none"/>
              </w:rPr>
              <w:t>%)</w:t>
            </w:r>
          </w:p>
        </w:tc>
        <w:tc>
          <w:tcPr>
            <w:tcW w:w="1013" w:type="dxa"/>
            <w:shd w:val="clear" w:color="auto" w:fill="auto"/>
          </w:tcPr>
          <w:p w14:paraId="6825FB6C" w14:textId="148D133A" w:rsidR="0052545D" w:rsidRPr="00D653F8" w:rsidRDefault="00796BE2" w:rsidP="000E0EA6">
            <w:pPr>
              <w:spacing w:after="0" w:line="240" w:lineRule="auto"/>
              <w:ind w:right="288"/>
              <w:jc w:val="right"/>
              <w:rPr>
                <w:rFonts w:eastAsia="Times New Roman"/>
                <w:lang w:eastAsia="x-none"/>
              </w:rPr>
            </w:pPr>
            <w:r>
              <w:rPr>
                <w:rFonts w:eastAsia="Times New Roman"/>
                <w:lang w:eastAsia="x-none"/>
              </w:rPr>
              <w:t>9</w:t>
            </w:r>
          </w:p>
        </w:tc>
        <w:tc>
          <w:tcPr>
            <w:tcW w:w="1260" w:type="dxa"/>
            <w:shd w:val="clear" w:color="auto" w:fill="auto"/>
          </w:tcPr>
          <w:p w14:paraId="142B3A40" w14:textId="5D72D651" w:rsidR="0052545D" w:rsidRPr="00D653F8" w:rsidRDefault="00A36ECD" w:rsidP="00981B28">
            <w:pPr>
              <w:spacing w:after="0" w:line="240" w:lineRule="auto"/>
              <w:ind w:right="288"/>
              <w:jc w:val="center"/>
              <w:rPr>
                <w:rFonts w:eastAsia="Times New Roman"/>
                <w:lang w:eastAsia="x-none"/>
              </w:rPr>
            </w:pPr>
            <w:r w:rsidRPr="00D653F8">
              <w:rPr>
                <w:rFonts w:eastAsia="Times New Roman"/>
                <w:lang w:eastAsia="x-none"/>
              </w:rPr>
              <w:t>1</w:t>
            </w:r>
          </w:p>
        </w:tc>
        <w:tc>
          <w:tcPr>
            <w:tcW w:w="1237" w:type="dxa"/>
            <w:shd w:val="clear" w:color="auto" w:fill="auto"/>
          </w:tcPr>
          <w:p w14:paraId="59665ED3" w14:textId="595641D4" w:rsidR="0052545D" w:rsidRPr="00D653F8" w:rsidRDefault="00A36ECD" w:rsidP="00981B28">
            <w:pPr>
              <w:spacing w:after="0" w:line="240" w:lineRule="auto"/>
              <w:ind w:right="288"/>
              <w:jc w:val="center"/>
              <w:rPr>
                <w:rFonts w:eastAsia="Times New Roman"/>
                <w:lang w:eastAsia="x-none"/>
              </w:rPr>
            </w:pPr>
            <w:r w:rsidRPr="00D653F8">
              <w:rPr>
                <w:rFonts w:eastAsia="Times New Roman"/>
                <w:lang w:eastAsia="x-none"/>
              </w:rPr>
              <w:t>0</w:t>
            </w:r>
          </w:p>
        </w:tc>
        <w:tc>
          <w:tcPr>
            <w:tcW w:w="1193" w:type="dxa"/>
            <w:shd w:val="clear" w:color="auto" w:fill="auto"/>
          </w:tcPr>
          <w:p w14:paraId="4750999F" w14:textId="564FE0A2" w:rsidR="0052545D" w:rsidRPr="00D653F8" w:rsidRDefault="00A36ECD" w:rsidP="00981B28">
            <w:pPr>
              <w:spacing w:after="0" w:line="240" w:lineRule="auto"/>
              <w:ind w:right="288"/>
              <w:jc w:val="center"/>
              <w:rPr>
                <w:rFonts w:eastAsia="Times New Roman"/>
                <w:lang w:eastAsia="x-none"/>
              </w:rPr>
            </w:pPr>
            <w:r w:rsidRPr="00D653F8">
              <w:rPr>
                <w:rFonts w:eastAsia="Times New Roman"/>
                <w:lang w:eastAsia="x-none"/>
              </w:rPr>
              <w:t>4</w:t>
            </w:r>
          </w:p>
        </w:tc>
      </w:tr>
      <w:tr w:rsidR="00EC6334" w:rsidRPr="00D653F8" w14:paraId="7AC386B5" w14:textId="77777777" w:rsidTr="00CC4FBC">
        <w:tc>
          <w:tcPr>
            <w:tcW w:w="3505" w:type="dxa"/>
            <w:shd w:val="clear" w:color="auto" w:fill="auto"/>
          </w:tcPr>
          <w:p w14:paraId="12D82569" w14:textId="08E37C7E" w:rsidR="00EC6334" w:rsidRPr="00D653F8" w:rsidRDefault="00A36ECD" w:rsidP="006B7F20">
            <w:pPr>
              <w:spacing w:after="0" w:line="240" w:lineRule="auto"/>
              <w:rPr>
                <w:rFonts w:eastAsia="Times New Roman"/>
                <w:lang w:eastAsia="x-none"/>
              </w:rPr>
            </w:pPr>
            <w:r w:rsidRPr="00D653F8">
              <w:rPr>
                <w:rFonts w:eastAsia="Times New Roman"/>
                <w:lang w:eastAsia="x-none"/>
              </w:rPr>
              <w:t>Compliance and enforcement action</w:t>
            </w:r>
          </w:p>
        </w:tc>
        <w:tc>
          <w:tcPr>
            <w:tcW w:w="1440" w:type="dxa"/>
            <w:shd w:val="clear" w:color="auto" w:fill="auto"/>
          </w:tcPr>
          <w:p w14:paraId="091FD768" w14:textId="0844E18F" w:rsidR="00EC6334" w:rsidRPr="00D653F8" w:rsidRDefault="00C44043" w:rsidP="000E0EA6">
            <w:pPr>
              <w:spacing w:after="0" w:line="240" w:lineRule="auto"/>
              <w:ind w:right="144"/>
              <w:jc w:val="right"/>
              <w:rPr>
                <w:rFonts w:eastAsia="Times New Roman"/>
                <w:lang w:eastAsia="x-none"/>
              </w:rPr>
            </w:pPr>
            <w:r w:rsidRPr="00D653F8">
              <w:rPr>
                <w:rFonts w:eastAsia="Times New Roman"/>
                <w:lang w:eastAsia="x-none"/>
              </w:rPr>
              <w:t>71</w:t>
            </w:r>
            <w:r w:rsidR="00A36ECD" w:rsidRPr="00D653F8">
              <w:rPr>
                <w:rFonts w:eastAsia="Times New Roman"/>
                <w:lang w:eastAsia="x-none"/>
              </w:rPr>
              <w:t xml:space="preserve"> (</w:t>
            </w:r>
            <w:r w:rsidR="00780462">
              <w:rPr>
                <w:rFonts w:eastAsia="Times New Roman"/>
                <w:lang w:eastAsia="x-none"/>
              </w:rPr>
              <w:t>19</w:t>
            </w:r>
            <w:r w:rsidR="00A36ECD" w:rsidRPr="00D653F8">
              <w:rPr>
                <w:rFonts w:eastAsia="Times New Roman"/>
                <w:lang w:eastAsia="x-none"/>
              </w:rPr>
              <w:t>%)</w:t>
            </w:r>
          </w:p>
        </w:tc>
        <w:tc>
          <w:tcPr>
            <w:tcW w:w="1013" w:type="dxa"/>
            <w:shd w:val="clear" w:color="auto" w:fill="auto"/>
          </w:tcPr>
          <w:p w14:paraId="25977558" w14:textId="078F384B" w:rsidR="00EC6334" w:rsidRPr="00D653F8" w:rsidRDefault="00A36ECD" w:rsidP="000E0EA6">
            <w:pPr>
              <w:spacing w:after="0" w:line="240" w:lineRule="auto"/>
              <w:ind w:right="288"/>
              <w:jc w:val="right"/>
              <w:rPr>
                <w:rFonts w:eastAsia="Times New Roman"/>
                <w:lang w:eastAsia="x-none"/>
              </w:rPr>
            </w:pPr>
            <w:r w:rsidRPr="00D653F8">
              <w:rPr>
                <w:rFonts w:eastAsia="Times New Roman"/>
                <w:lang w:eastAsia="x-none"/>
              </w:rPr>
              <w:t>23</w:t>
            </w:r>
          </w:p>
        </w:tc>
        <w:tc>
          <w:tcPr>
            <w:tcW w:w="1260" w:type="dxa"/>
            <w:shd w:val="clear" w:color="auto" w:fill="auto"/>
          </w:tcPr>
          <w:p w14:paraId="3E7D6C2A" w14:textId="421FBF3F" w:rsidR="00EC6334" w:rsidRPr="00D653F8" w:rsidRDefault="00061467" w:rsidP="00981B28">
            <w:pPr>
              <w:spacing w:after="0" w:line="240" w:lineRule="auto"/>
              <w:ind w:right="288"/>
              <w:jc w:val="center"/>
              <w:rPr>
                <w:rFonts w:eastAsia="Times New Roman"/>
                <w:lang w:eastAsia="x-none"/>
              </w:rPr>
            </w:pPr>
            <w:r>
              <w:rPr>
                <w:rFonts w:eastAsia="Times New Roman"/>
                <w:lang w:eastAsia="x-none"/>
              </w:rPr>
              <w:t>39</w:t>
            </w:r>
          </w:p>
        </w:tc>
        <w:tc>
          <w:tcPr>
            <w:tcW w:w="1237" w:type="dxa"/>
            <w:shd w:val="clear" w:color="auto" w:fill="auto"/>
          </w:tcPr>
          <w:p w14:paraId="6CAB4DC3" w14:textId="4A01BF0C" w:rsidR="00EC6334" w:rsidRPr="00D653F8" w:rsidRDefault="00A36ECD" w:rsidP="00981B28">
            <w:pPr>
              <w:spacing w:after="0" w:line="240" w:lineRule="auto"/>
              <w:ind w:right="288"/>
              <w:jc w:val="center"/>
              <w:rPr>
                <w:rFonts w:eastAsia="Times New Roman"/>
                <w:lang w:eastAsia="x-none"/>
              </w:rPr>
            </w:pPr>
            <w:r w:rsidRPr="00D653F8">
              <w:rPr>
                <w:rFonts w:eastAsia="Times New Roman"/>
                <w:lang w:eastAsia="x-none"/>
              </w:rPr>
              <w:t>8</w:t>
            </w:r>
          </w:p>
        </w:tc>
        <w:tc>
          <w:tcPr>
            <w:tcW w:w="1193" w:type="dxa"/>
            <w:shd w:val="clear" w:color="auto" w:fill="auto"/>
          </w:tcPr>
          <w:p w14:paraId="02D32F20" w14:textId="7C904B26" w:rsidR="00EC6334" w:rsidRPr="00D653F8" w:rsidRDefault="00C44043" w:rsidP="00981B28">
            <w:pPr>
              <w:spacing w:after="0" w:line="240" w:lineRule="auto"/>
              <w:ind w:right="288"/>
              <w:jc w:val="center"/>
              <w:rPr>
                <w:rFonts w:eastAsia="Times New Roman"/>
                <w:lang w:eastAsia="x-none"/>
              </w:rPr>
            </w:pPr>
            <w:r w:rsidRPr="00D653F8">
              <w:rPr>
                <w:rFonts w:eastAsia="Times New Roman"/>
                <w:lang w:eastAsia="x-none"/>
              </w:rPr>
              <w:t>2</w:t>
            </w:r>
          </w:p>
        </w:tc>
      </w:tr>
      <w:tr w:rsidR="0067629B" w:rsidRPr="00D653F8" w14:paraId="0E033108" w14:textId="46D56682" w:rsidTr="00CC4FBC">
        <w:tc>
          <w:tcPr>
            <w:tcW w:w="3505" w:type="dxa"/>
            <w:shd w:val="clear" w:color="auto" w:fill="auto"/>
            <w:hideMark/>
          </w:tcPr>
          <w:p w14:paraId="5963D4CF" w14:textId="0C9F8487" w:rsidR="00192068" w:rsidRPr="00D653F8" w:rsidRDefault="00A36ECD" w:rsidP="006B7F20">
            <w:pPr>
              <w:spacing w:after="0" w:line="240" w:lineRule="auto"/>
              <w:rPr>
                <w:rFonts w:eastAsia="Times New Roman"/>
                <w:lang w:eastAsia="x-none"/>
              </w:rPr>
            </w:pPr>
            <w:r w:rsidRPr="00D653F8">
              <w:rPr>
                <w:rFonts w:eastAsia="Times New Roman"/>
                <w:lang w:eastAsia="x-none"/>
              </w:rPr>
              <w:t>Implementation/monitoring agreements</w:t>
            </w:r>
          </w:p>
        </w:tc>
        <w:tc>
          <w:tcPr>
            <w:tcW w:w="1440" w:type="dxa"/>
            <w:shd w:val="clear" w:color="auto" w:fill="auto"/>
          </w:tcPr>
          <w:p w14:paraId="65E7F086" w14:textId="59556D17" w:rsidR="00192068" w:rsidRPr="00D653F8" w:rsidRDefault="00780462" w:rsidP="000E0EA6">
            <w:pPr>
              <w:spacing w:after="0" w:line="240" w:lineRule="auto"/>
              <w:ind w:right="144"/>
              <w:jc w:val="right"/>
              <w:rPr>
                <w:rFonts w:eastAsia="Times New Roman"/>
                <w:lang w:eastAsia="x-none"/>
              </w:rPr>
            </w:pPr>
            <w:r>
              <w:rPr>
                <w:rFonts w:eastAsia="Times New Roman"/>
                <w:lang w:eastAsia="x-none"/>
              </w:rPr>
              <w:t>18</w:t>
            </w:r>
            <w:r w:rsidR="00A36ECD" w:rsidRPr="00D653F8">
              <w:rPr>
                <w:rFonts w:eastAsia="Times New Roman"/>
                <w:lang w:eastAsia="x-none"/>
              </w:rPr>
              <w:t xml:space="preserve"> (</w:t>
            </w:r>
            <w:r>
              <w:rPr>
                <w:rFonts w:eastAsia="Times New Roman"/>
                <w:lang w:eastAsia="x-none"/>
              </w:rPr>
              <w:t>5</w:t>
            </w:r>
            <w:r w:rsidR="00A36ECD" w:rsidRPr="00D653F8">
              <w:rPr>
                <w:rFonts w:eastAsia="Times New Roman"/>
                <w:lang w:eastAsia="x-none"/>
              </w:rPr>
              <w:t>%)</w:t>
            </w:r>
          </w:p>
        </w:tc>
        <w:tc>
          <w:tcPr>
            <w:tcW w:w="1013" w:type="dxa"/>
            <w:shd w:val="clear" w:color="auto" w:fill="auto"/>
          </w:tcPr>
          <w:p w14:paraId="60E5CBED" w14:textId="13FFDCD1" w:rsidR="00192068" w:rsidRPr="00D653F8" w:rsidRDefault="00C36E2F" w:rsidP="000E0EA6">
            <w:pPr>
              <w:spacing w:after="0" w:line="240" w:lineRule="auto"/>
              <w:ind w:right="288"/>
              <w:jc w:val="right"/>
              <w:rPr>
                <w:rFonts w:eastAsia="Times New Roman"/>
                <w:lang w:eastAsia="x-none"/>
              </w:rPr>
            </w:pPr>
            <w:r w:rsidRPr="00D653F8">
              <w:rPr>
                <w:rFonts w:eastAsia="Times New Roman"/>
                <w:lang w:eastAsia="x-none"/>
              </w:rPr>
              <w:t>12</w:t>
            </w:r>
          </w:p>
        </w:tc>
        <w:tc>
          <w:tcPr>
            <w:tcW w:w="1260" w:type="dxa"/>
            <w:shd w:val="clear" w:color="auto" w:fill="auto"/>
          </w:tcPr>
          <w:p w14:paraId="7753338F" w14:textId="30BFAF4D" w:rsidR="00192068" w:rsidRPr="00D653F8" w:rsidRDefault="00A36ECD" w:rsidP="00981B28">
            <w:pPr>
              <w:spacing w:after="0" w:line="240" w:lineRule="auto"/>
              <w:ind w:right="288"/>
              <w:jc w:val="center"/>
              <w:rPr>
                <w:rFonts w:eastAsia="Times New Roman"/>
                <w:lang w:eastAsia="x-none"/>
              </w:rPr>
            </w:pPr>
            <w:r w:rsidRPr="00D653F8">
              <w:rPr>
                <w:rFonts w:eastAsia="Times New Roman"/>
                <w:lang w:eastAsia="x-none"/>
              </w:rPr>
              <w:t>0</w:t>
            </w:r>
          </w:p>
        </w:tc>
        <w:tc>
          <w:tcPr>
            <w:tcW w:w="1237" w:type="dxa"/>
            <w:shd w:val="clear" w:color="auto" w:fill="auto"/>
          </w:tcPr>
          <w:p w14:paraId="3A9D01E7" w14:textId="30865CA9" w:rsidR="00192068" w:rsidRPr="00D653F8" w:rsidRDefault="00A36ECD" w:rsidP="00981B28">
            <w:pPr>
              <w:spacing w:after="0" w:line="240" w:lineRule="auto"/>
              <w:ind w:right="288"/>
              <w:jc w:val="center"/>
              <w:rPr>
                <w:rFonts w:eastAsia="Times New Roman"/>
                <w:lang w:eastAsia="x-none"/>
              </w:rPr>
            </w:pPr>
            <w:r w:rsidRPr="00D653F8">
              <w:rPr>
                <w:rFonts w:eastAsia="Times New Roman"/>
                <w:lang w:eastAsia="x-none"/>
              </w:rPr>
              <w:t>0</w:t>
            </w:r>
          </w:p>
        </w:tc>
        <w:tc>
          <w:tcPr>
            <w:tcW w:w="1193" w:type="dxa"/>
            <w:shd w:val="clear" w:color="auto" w:fill="auto"/>
          </w:tcPr>
          <w:p w14:paraId="03CA6697" w14:textId="13605761" w:rsidR="00192068" w:rsidRPr="00D653F8" w:rsidRDefault="00061467" w:rsidP="00981B28">
            <w:pPr>
              <w:spacing w:after="0" w:line="240" w:lineRule="auto"/>
              <w:ind w:right="288"/>
              <w:jc w:val="center"/>
              <w:rPr>
                <w:rFonts w:eastAsia="Times New Roman"/>
                <w:lang w:eastAsia="x-none"/>
              </w:rPr>
            </w:pPr>
            <w:r>
              <w:rPr>
                <w:rFonts w:eastAsia="Times New Roman"/>
                <w:lang w:eastAsia="x-none"/>
              </w:rPr>
              <w:t>6</w:t>
            </w:r>
          </w:p>
        </w:tc>
      </w:tr>
      <w:tr w:rsidR="0067629B" w:rsidRPr="00D653F8" w14:paraId="2B0B7963" w14:textId="148C2C77" w:rsidTr="00CC4FBC">
        <w:tc>
          <w:tcPr>
            <w:tcW w:w="3505" w:type="dxa"/>
            <w:shd w:val="clear" w:color="auto" w:fill="auto"/>
            <w:hideMark/>
          </w:tcPr>
          <w:p w14:paraId="4277886C" w14:textId="165C219F" w:rsidR="00192068" w:rsidRPr="00D653F8" w:rsidRDefault="00A36ECD" w:rsidP="006B7F20">
            <w:pPr>
              <w:spacing w:after="0" w:line="240" w:lineRule="auto"/>
              <w:rPr>
                <w:rFonts w:eastAsia="Times New Roman"/>
                <w:lang w:eastAsia="x-none"/>
              </w:rPr>
            </w:pPr>
            <w:r w:rsidRPr="00D653F8">
              <w:rPr>
                <w:rFonts w:eastAsia="Times New Roman"/>
                <w:lang w:eastAsia="x-none"/>
              </w:rPr>
              <w:t>Other</w:t>
            </w:r>
          </w:p>
        </w:tc>
        <w:tc>
          <w:tcPr>
            <w:tcW w:w="1440" w:type="dxa"/>
            <w:shd w:val="clear" w:color="auto" w:fill="auto"/>
          </w:tcPr>
          <w:p w14:paraId="7EB97005" w14:textId="2C7559E2" w:rsidR="00192068" w:rsidRPr="00D653F8" w:rsidRDefault="00A36ECD" w:rsidP="000E0EA6">
            <w:pPr>
              <w:spacing w:after="0" w:line="240" w:lineRule="auto"/>
              <w:ind w:right="144"/>
              <w:jc w:val="right"/>
              <w:rPr>
                <w:rFonts w:eastAsia="Times New Roman"/>
                <w:lang w:eastAsia="x-none"/>
              </w:rPr>
            </w:pPr>
            <w:r w:rsidRPr="00D653F8">
              <w:rPr>
                <w:rFonts w:eastAsia="Times New Roman"/>
                <w:lang w:eastAsia="x-none"/>
              </w:rPr>
              <w:t>33 (</w:t>
            </w:r>
            <w:r w:rsidR="00D653F8" w:rsidRPr="00D653F8">
              <w:rPr>
                <w:rFonts w:eastAsia="Times New Roman"/>
                <w:lang w:eastAsia="x-none"/>
              </w:rPr>
              <w:t>9</w:t>
            </w:r>
            <w:r w:rsidR="002A1A9D" w:rsidRPr="00D653F8">
              <w:rPr>
                <w:rFonts w:eastAsia="Times New Roman"/>
                <w:lang w:eastAsia="x-none"/>
              </w:rPr>
              <w:t>%)</w:t>
            </w:r>
          </w:p>
        </w:tc>
        <w:tc>
          <w:tcPr>
            <w:tcW w:w="1013" w:type="dxa"/>
            <w:shd w:val="clear" w:color="auto" w:fill="auto"/>
          </w:tcPr>
          <w:p w14:paraId="768DBE50" w14:textId="783AB031" w:rsidR="00192068" w:rsidRPr="00D653F8" w:rsidRDefault="00A36ECD" w:rsidP="000E0EA6">
            <w:pPr>
              <w:spacing w:after="0" w:line="240" w:lineRule="auto"/>
              <w:ind w:right="288"/>
              <w:jc w:val="right"/>
              <w:rPr>
                <w:rFonts w:eastAsia="Times New Roman"/>
                <w:lang w:eastAsia="x-none"/>
              </w:rPr>
            </w:pPr>
            <w:r w:rsidRPr="00D653F8">
              <w:rPr>
                <w:rFonts w:eastAsia="Times New Roman"/>
                <w:lang w:eastAsia="x-none"/>
              </w:rPr>
              <w:t>9</w:t>
            </w:r>
          </w:p>
        </w:tc>
        <w:tc>
          <w:tcPr>
            <w:tcW w:w="1260" w:type="dxa"/>
            <w:shd w:val="clear" w:color="auto" w:fill="auto"/>
          </w:tcPr>
          <w:p w14:paraId="5BE8233C" w14:textId="599C343F" w:rsidR="00192068" w:rsidRPr="00D653F8" w:rsidRDefault="00A36ECD" w:rsidP="00981B28">
            <w:pPr>
              <w:spacing w:after="0" w:line="240" w:lineRule="auto"/>
              <w:ind w:right="288"/>
              <w:jc w:val="center"/>
              <w:rPr>
                <w:rFonts w:eastAsia="Times New Roman"/>
                <w:lang w:eastAsia="x-none"/>
              </w:rPr>
            </w:pPr>
            <w:r w:rsidRPr="00D653F8">
              <w:rPr>
                <w:rFonts w:eastAsia="Times New Roman"/>
                <w:lang w:eastAsia="x-none"/>
              </w:rPr>
              <w:t>0</w:t>
            </w:r>
          </w:p>
        </w:tc>
        <w:tc>
          <w:tcPr>
            <w:tcW w:w="1237" w:type="dxa"/>
            <w:shd w:val="clear" w:color="auto" w:fill="auto"/>
          </w:tcPr>
          <w:p w14:paraId="6A3CB429" w14:textId="267C84B7" w:rsidR="00192068" w:rsidRPr="00D653F8" w:rsidRDefault="00981B28" w:rsidP="00981B28">
            <w:pPr>
              <w:spacing w:after="0" w:line="240" w:lineRule="auto"/>
              <w:ind w:right="288"/>
              <w:rPr>
                <w:rFonts w:eastAsia="Times New Roman"/>
                <w:lang w:eastAsia="x-none"/>
              </w:rPr>
            </w:pPr>
            <w:r w:rsidRPr="00D653F8">
              <w:rPr>
                <w:rFonts w:eastAsia="Times New Roman"/>
                <w:lang w:eastAsia="x-none"/>
              </w:rPr>
              <w:t xml:space="preserve">      </w:t>
            </w:r>
            <w:r w:rsidR="00A36ECD" w:rsidRPr="00D653F8">
              <w:rPr>
                <w:rFonts w:eastAsia="Times New Roman"/>
                <w:lang w:eastAsia="x-none"/>
              </w:rPr>
              <w:t>2</w:t>
            </w:r>
          </w:p>
        </w:tc>
        <w:tc>
          <w:tcPr>
            <w:tcW w:w="1193" w:type="dxa"/>
            <w:shd w:val="clear" w:color="auto" w:fill="auto"/>
          </w:tcPr>
          <w:p w14:paraId="609290EB" w14:textId="116CA498" w:rsidR="00192068" w:rsidRPr="00D653F8" w:rsidRDefault="00A36ECD" w:rsidP="00981B28">
            <w:pPr>
              <w:spacing w:after="0" w:line="240" w:lineRule="auto"/>
              <w:ind w:right="288"/>
              <w:jc w:val="center"/>
              <w:rPr>
                <w:rFonts w:eastAsia="Times New Roman"/>
                <w:lang w:eastAsia="x-none"/>
              </w:rPr>
            </w:pPr>
            <w:r w:rsidRPr="00D653F8">
              <w:rPr>
                <w:rFonts w:eastAsia="Times New Roman"/>
                <w:lang w:eastAsia="x-none"/>
              </w:rPr>
              <w:t>22</w:t>
            </w:r>
          </w:p>
        </w:tc>
      </w:tr>
      <w:tr w:rsidR="0067629B" w:rsidRPr="000E194E" w14:paraId="66AD36CC" w14:textId="1F985653" w:rsidTr="00CC4FBC">
        <w:tc>
          <w:tcPr>
            <w:tcW w:w="3505" w:type="dxa"/>
            <w:shd w:val="clear" w:color="auto" w:fill="auto"/>
          </w:tcPr>
          <w:p w14:paraId="6CDB06F1" w14:textId="77777777" w:rsidR="00192068" w:rsidRPr="00D653F8" w:rsidRDefault="00192068" w:rsidP="00C2555C">
            <w:pPr>
              <w:spacing w:after="0" w:line="240" w:lineRule="auto"/>
              <w:jc w:val="right"/>
              <w:rPr>
                <w:rFonts w:eastAsia="Times New Roman"/>
                <w:b/>
                <w:lang w:eastAsia="x-none"/>
              </w:rPr>
            </w:pPr>
            <w:r w:rsidRPr="00D653F8">
              <w:rPr>
                <w:rFonts w:eastAsia="Times New Roman"/>
                <w:b/>
                <w:lang w:eastAsia="x-none"/>
              </w:rPr>
              <w:t>Total</w:t>
            </w:r>
          </w:p>
        </w:tc>
        <w:tc>
          <w:tcPr>
            <w:tcW w:w="1440" w:type="dxa"/>
            <w:shd w:val="clear" w:color="auto" w:fill="E7E6E6" w:themeFill="background2"/>
          </w:tcPr>
          <w:p w14:paraId="29A62A30" w14:textId="4780AE95" w:rsidR="00192068" w:rsidRPr="00D653F8" w:rsidRDefault="00C44043" w:rsidP="00C36E2F">
            <w:pPr>
              <w:spacing w:after="0" w:line="240" w:lineRule="auto"/>
              <w:ind w:right="144"/>
              <w:jc w:val="center"/>
              <w:rPr>
                <w:rFonts w:eastAsia="Times New Roman"/>
                <w:lang w:eastAsia="x-none"/>
              </w:rPr>
            </w:pPr>
            <w:r w:rsidRPr="00D653F8">
              <w:rPr>
                <w:rFonts w:eastAsia="Times New Roman"/>
                <w:b/>
                <w:lang w:eastAsia="x-none"/>
              </w:rPr>
              <w:t>36</w:t>
            </w:r>
            <w:r w:rsidR="00343C6A">
              <w:rPr>
                <w:rFonts w:eastAsia="Times New Roman"/>
                <w:b/>
                <w:lang w:eastAsia="x-none"/>
              </w:rPr>
              <w:t>8</w:t>
            </w:r>
            <w:r w:rsidR="00671AA9" w:rsidRPr="00D653F8">
              <w:rPr>
                <w:rFonts w:eastAsia="Times New Roman"/>
                <w:b/>
                <w:lang w:eastAsia="x-none"/>
              </w:rPr>
              <w:t xml:space="preserve"> </w:t>
            </w:r>
            <w:r w:rsidR="00671AA9" w:rsidRPr="00D653F8">
              <w:rPr>
                <w:rFonts w:eastAsia="Times New Roman"/>
                <w:lang w:eastAsia="x-none"/>
              </w:rPr>
              <w:t>(100%)</w:t>
            </w:r>
          </w:p>
        </w:tc>
        <w:tc>
          <w:tcPr>
            <w:tcW w:w="1013" w:type="dxa"/>
            <w:shd w:val="clear" w:color="auto" w:fill="E7E6E6" w:themeFill="background2"/>
          </w:tcPr>
          <w:p w14:paraId="59723CFB" w14:textId="2657123F" w:rsidR="00192068" w:rsidRPr="00D653F8" w:rsidRDefault="00796BE2" w:rsidP="000E0EA6">
            <w:pPr>
              <w:spacing w:after="0" w:line="240" w:lineRule="auto"/>
              <w:jc w:val="center"/>
              <w:rPr>
                <w:rFonts w:eastAsia="Times New Roman"/>
                <w:b/>
                <w:lang w:eastAsia="x-none"/>
              </w:rPr>
            </w:pPr>
            <w:r>
              <w:rPr>
                <w:rFonts w:eastAsia="Times New Roman"/>
                <w:b/>
                <w:lang w:eastAsia="x-none"/>
              </w:rPr>
              <w:t>207</w:t>
            </w:r>
          </w:p>
        </w:tc>
        <w:tc>
          <w:tcPr>
            <w:tcW w:w="1260" w:type="dxa"/>
            <w:shd w:val="clear" w:color="auto" w:fill="E7E6E6" w:themeFill="background2"/>
          </w:tcPr>
          <w:p w14:paraId="09F0A068" w14:textId="27C5397B" w:rsidR="00192068" w:rsidRPr="00D653F8" w:rsidRDefault="00981B28" w:rsidP="00981B28">
            <w:pPr>
              <w:spacing w:after="0" w:line="240" w:lineRule="auto"/>
              <w:rPr>
                <w:rFonts w:eastAsia="Times New Roman"/>
                <w:b/>
                <w:lang w:eastAsia="x-none"/>
              </w:rPr>
            </w:pPr>
            <w:r w:rsidRPr="00D653F8">
              <w:rPr>
                <w:rFonts w:eastAsia="Times New Roman"/>
                <w:b/>
                <w:lang w:eastAsia="x-none"/>
              </w:rPr>
              <w:t xml:space="preserve">     </w:t>
            </w:r>
            <w:r w:rsidR="00061467">
              <w:rPr>
                <w:rFonts w:eastAsia="Times New Roman"/>
                <w:b/>
                <w:lang w:eastAsia="x-none"/>
              </w:rPr>
              <w:t>40</w:t>
            </w:r>
          </w:p>
        </w:tc>
        <w:tc>
          <w:tcPr>
            <w:tcW w:w="1237" w:type="dxa"/>
            <w:shd w:val="clear" w:color="auto" w:fill="E7E6E6" w:themeFill="background2"/>
          </w:tcPr>
          <w:p w14:paraId="646225EE" w14:textId="3A43696C" w:rsidR="00192068" w:rsidRPr="00D653F8" w:rsidRDefault="00981B28" w:rsidP="00981B28">
            <w:pPr>
              <w:spacing w:after="0" w:line="240" w:lineRule="auto"/>
              <w:rPr>
                <w:rFonts w:eastAsia="Times New Roman"/>
                <w:b/>
                <w:lang w:eastAsia="x-none"/>
              </w:rPr>
            </w:pPr>
            <w:r w:rsidRPr="00D653F8">
              <w:rPr>
                <w:rFonts w:eastAsia="Times New Roman"/>
                <w:b/>
                <w:lang w:eastAsia="x-none"/>
              </w:rPr>
              <w:t xml:space="preserve">     </w:t>
            </w:r>
            <w:r w:rsidR="00061467">
              <w:rPr>
                <w:rFonts w:eastAsia="Times New Roman"/>
                <w:b/>
                <w:lang w:eastAsia="x-none"/>
              </w:rPr>
              <w:t>16</w:t>
            </w:r>
          </w:p>
        </w:tc>
        <w:tc>
          <w:tcPr>
            <w:tcW w:w="1193" w:type="dxa"/>
            <w:shd w:val="clear" w:color="auto" w:fill="E7E6E6" w:themeFill="background2"/>
          </w:tcPr>
          <w:p w14:paraId="32346719" w14:textId="6A3872F8" w:rsidR="00192068" w:rsidRPr="000E194E" w:rsidRDefault="00981B28" w:rsidP="00981B28">
            <w:pPr>
              <w:spacing w:after="0" w:line="240" w:lineRule="auto"/>
              <w:rPr>
                <w:rFonts w:eastAsia="Times New Roman"/>
                <w:b/>
                <w:lang w:eastAsia="x-none"/>
              </w:rPr>
            </w:pPr>
            <w:r w:rsidRPr="00D653F8">
              <w:rPr>
                <w:rFonts w:eastAsia="Times New Roman"/>
                <w:b/>
                <w:lang w:eastAsia="x-none"/>
              </w:rPr>
              <w:t xml:space="preserve">    </w:t>
            </w:r>
            <w:r w:rsidR="00E22F76" w:rsidRPr="00D653F8">
              <w:rPr>
                <w:rFonts w:eastAsia="Times New Roman"/>
                <w:b/>
                <w:lang w:eastAsia="x-none"/>
              </w:rPr>
              <w:t>1</w:t>
            </w:r>
            <w:r w:rsidR="00061467">
              <w:rPr>
                <w:rFonts w:eastAsia="Times New Roman"/>
                <w:b/>
                <w:lang w:eastAsia="x-none"/>
              </w:rPr>
              <w:t>05</w:t>
            </w:r>
          </w:p>
        </w:tc>
      </w:tr>
    </w:tbl>
    <w:p w14:paraId="0F852609" w14:textId="32E94F16" w:rsidR="00980ACD" w:rsidRPr="00981B28" w:rsidRDefault="00980ACD" w:rsidP="002456E9">
      <w:pPr>
        <w:pStyle w:val="Heading1"/>
        <w:rPr>
          <w:color w:val="auto"/>
        </w:rPr>
      </w:pPr>
      <w:r w:rsidRPr="00981B28">
        <w:rPr>
          <w:color w:val="auto"/>
        </w:rPr>
        <w:t>Investment in ECCR</w:t>
      </w:r>
    </w:p>
    <w:p w14:paraId="2ABD9416" w14:textId="1D290B8D" w:rsidR="00F45197" w:rsidRPr="00BA2892" w:rsidRDefault="00F45197" w:rsidP="00F45197">
      <w:pPr>
        <w:spacing w:after="0" w:line="240" w:lineRule="auto"/>
      </w:pPr>
      <w:r w:rsidRPr="00BA2892">
        <w:t>Departments and agencies have invested in ECCR and reinforced those investments wit</w:t>
      </w:r>
      <w:r w:rsidR="005A4341">
        <w:t xml:space="preserve">h ECCR-related policy changes. </w:t>
      </w:r>
      <w:r w:rsidRPr="00BA2892">
        <w:t>Many of these investments build overall ECCR capacity by leveraging federal dollars and employees with non-federal and non-governmental partnerships</w:t>
      </w:r>
      <w:r>
        <w:t>,</w:t>
      </w:r>
      <w:r w:rsidRPr="00BA2892">
        <w:t xml:space="preserve"> including those with American Indian Tribes; local communities; states; academic institutions; and non-governmental, private-sector </w:t>
      </w:r>
      <w:r w:rsidR="00425D90">
        <w:t xml:space="preserve">individuals and organizations. </w:t>
      </w:r>
      <w:r w:rsidR="00CF4ADB">
        <w:t>For FY 2016</w:t>
      </w:r>
      <w:r w:rsidRPr="00BA2892">
        <w:t>, departments and agencies reported the following investments in ECCR:</w:t>
      </w:r>
    </w:p>
    <w:p w14:paraId="45E6E2AD" w14:textId="34ACC0FA" w:rsidR="00F45197" w:rsidRDefault="00F45197" w:rsidP="00F45197">
      <w:pPr>
        <w:spacing w:after="0" w:line="240" w:lineRule="auto"/>
      </w:pPr>
    </w:p>
    <w:p w14:paraId="4592DE67" w14:textId="440EE0F6" w:rsidR="00F45197" w:rsidRPr="00BA2892" w:rsidRDefault="00FF7E68" w:rsidP="00F45197">
      <w:pPr>
        <w:numPr>
          <w:ilvl w:val="0"/>
          <w:numId w:val="19"/>
        </w:numPr>
        <w:contextualSpacing/>
        <w:rPr>
          <w:b/>
        </w:rPr>
      </w:pPr>
      <w:r>
        <w:rPr>
          <w:b/>
        </w:rPr>
        <w:t xml:space="preserve">Promoting the use of </w:t>
      </w:r>
      <w:r w:rsidR="009B51AA">
        <w:rPr>
          <w:b/>
        </w:rPr>
        <w:t xml:space="preserve">ECCR </w:t>
      </w:r>
      <w:r w:rsidR="002E4B90">
        <w:t>through</w:t>
      </w:r>
    </w:p>
    <w:p w14:paraId="39DAC3DC" w14:textId="75A1B024" w:rsidR="009C2185" w:rsidRDefault="00336B9E" w:rsidP="003A05E1">
      <w:pPr>
        <w:numPr>
          <w:ilvl w:val="1"/>
          <w:numId w:val="19"/>
        </w:numPr>
        <w:ind w:left="1080"/>
        <w:contextualSpacing/>
      </w:pPr>
      <w:r>
        <w:t>P</w:t>
      </w:r>
      <w:r w:rsidR="009C2185">
        <w:t xml:space="preserve">roactively engaging sponsors, </w:t>
      </w:r>
      <w:r w:rsidR="00CF4ADB">
        <w:t>partners</w:t>
      </w:r>
      <w:r w:rsidR="009C2185">
        <w:t>, and the public</w:t>
      </w:r>
      <w:r w:rsidR="007C26B2">
        <w:t>;</w:t>
      </w:r>
    </w:p>
    <w:p w14:paraId="2E6AE598" w14:textId="2FD5C929" w:rsidR="00F45197" w:rsidRDefault="00336B9E" w:rsidP="003A05E1">
      <w:pPr>
        <w:numPr>
          <w:ilvl w:val="1"/>
          <w:numId w:val="19"/>
        </w:numPr>
        <w:ind w:left="1080"/>
        <w:contextualSpacing/>
      </w:pPr>
      <w:r>
        <w:t>I</w:t>
      </w:r>
      <w:r w:rsidR="00F45197" w:rsidRPr="00BA2892">
        <w:t xml:space="preserve">ntegrating </w:t>
      </w:r>
      <w:r w:rsidR="00341AFE">
        <w:t xml:space="preserve">and institutionalizing </w:t>
      </w:r>
      <w:r w:rsidR="00F45197" w:rsidRPr="00BA2892">
        <w:t xml:space="preserve">ECCR principles into department and agency mission statements, </w:t>
      </w:r>
      <w:r w:rsidR="00341AFE">
        <w:t xml:space="preserve">operating principles, performance goals, </w:t>
      </w:r>
      <w:r w:rsidR="00F45197" w:rsidRPr="00BA2892">
        <w:t>strategic planning</w:t>
      </w:r>
      <w:r w:rsidR="00341AFE">
        <w:t>, and policy implementation</w:t>
      </w:r>
      <w:r w:rsidR="009B51AA">
        <w:t>;</w:t>
      </w:r>
    </w:p>
    <w:p w14:paraId="242BBD41" w14:textId="2F368365" w:rsidR="00341AFE" w:rsidRPr="00BA2892" w:rsidRDefault="00336B9E" w:rsidP="003A05E1">
      <w:pPr>
        <w:numPr>
          <w:ilvl w:val="1"/>
          <w:numId w:val="19"/>
        </w:numPr>
        <w:ind w:left="1080"/>
        <w:contextualSpacing/>
      </w:pPr>
      <w:r>
        <w:t>E</w:t>
      </w:r>
      <w:r w:rsidR="007164C4">
        <w:t xml:space="preserve">mphasizing </w:t>
      </w:r>
      <w:r w:rsidR="00341AFE">
        <w:t>leadership</w:t>
      </w:r>
      <w:r w:rsidR="008C3A85">
        <w:t xml:space="preserve"> </w:t>
      </w:r>
      <w:r w:rsidR="00345250">
        <w:t>commitment to and support of ECCR use</w:t>
      </w:r>
      <w:r w:rsidR="009B51AA">
        <w:t>;</w:t>
      </w:r>
    </w:p>
    <w:p w14:paraId="55F6B955" w14:textId="22CDC0DD" w:rsidR="00F45197" w:rsidRPr="00BA2892" w:rsidRDefault="00336B9E" w:rsidP="003A05E1">
      <w:pPr>
        <w:numPr>
          <w:ilvl w:val="1"/>
          <w:numId w:val="19"/>
        </w:numPr>
        <w:ind w:left="1080"/>
        <w:contextualSpacing/>
      </w:pPr>
      <w:r>
        <w:t>C</w:t>
      </w:r>
      <w:r w:rsidR="00A931C9">
        <w:t>ontinuing to develop</w:t>
      </w:r>
      <w:r w:rsidR="00F45197" w:rsidRPr="00BA2892">
        <w:t xml:space="preserve"> internal agency </w:t>
      </w:r>
      <w:r w:rsidR="00341AFE">
        <w:t xml:space="preserve">ECCR </w:t>
      </w:r>
      <w:r w:rsidR="00F45197" w:rsidRPr="00BA2892">
        <w:t xml:space="preserve">support mechanisms </w:t>
      </w:r>
      <w:r w:rsidR="00341AFE">
        <w:t xml:space="preserve">and </w:t>
      </w:r>
      <w:r w:rsidR="00341AFE" w:rsidRPr="00BA2892">
        <w:t>guidance</w:t>
      </w:r>
      <w:r w:rsidR="00341AFE">
        <w:t>, drawing on lessons learned from past ECCR use</w:t>
      </w:r>
      <w:r w:rsidR="009B51AA">
        <w:t>;</w:t>
      </w:r>
    </w:p>
    <w:p w14:paraId="093233F2" w14:textId="5B550307" w:rsidR="007C26B2" w:rsidRDefault="00336B9E" w:rsidP="003A05E1">
      <w:pPr>
        <w:numPr>
          <w:ilvl w:val="1"/>
          <w:numId w:val="19"/>
        </w:numPr>
        <w:ind w:left="1080"/>
        <w:contextualSpacing/>
      </w:pPr>
      <w:r>
        <w:t>I</w:t>
      </w:r>
      <w:r w:rsidR="00F45197" w:rsidRPr="00BA2892">
        <w:t>ncorporating procedures for</w:t>
      </w:r>
      <w:r w:rsidR="00DE4C19">
        <w:t xml:space="preserve"> the</w:t>
      </w:r>
      <w:r w:rsidR="00F45197" w:rsidRPr="00BA2892">
        <w:t xml:space="preserve"> appropriate application of ECCR into department and agency regulations</w:t>
      </w:r>
      <w:r w:rsidR="009B51AA">
        <w:t>;</w:t>
      </w:r>
    </w:p>
    <w:p w14:paraId="26824858" w14:textId="77777777" w:rsidR="00A16A46" w:rsidRDefault="00336B9E" w:rsidP="003A05E1">
      <w:pPr>
        <w:numPr>
          <w:ilvl w:val="1"/>
          <w:numId w:val="19"/>
        </w:numPr>
        <w:ind w:left="1080"/>
        <w:contextualSpacing/>
      </w:pPr>
      <w:r>
        <w:lastRenderedPageBreak/>
        <w:t>D</w:t>
      </w:r>
      <w:r w:rsidR="00F45197" w:rsidRPr="00BA2892">
        <w:t>edicating specific budget allocations for ECCR services, including contracting with third-party ECCR professionals</w:t>
      </w:r>
      <w:r w:rsidR="009B51AA">
        <w:t>;</w:t>
      </w:r>
      <w:r w:rsidR="00F45197" w:rsidRPr="00BA2892">
        <w:t xml:space="preserve"> </w:t>
      </w:r>
    </w:p>
    <w:p w14:paraId="6B210DBB" w14:textId="3DF0EC71" w:rsidR="00F45197" w:rsidRDefault="00A16A46" w:rsidP="003A05E1">
      <w:pPr>
        <w:numPr>
          <w:ilvl w:val="1"/>
          <w:numId w:val="19"/>
        </w:numPr>
        <w:ind w:left="1080"/>
        <w:contextualSpacing/>
      </w:pPr>
      <w:r>
        <w:t xml:space="preserve">Building support with management, </w:t>
      </w:r>
      <w:r w:rsidR="009B51AA">
        <w:t>and</w:t>
      </w:r>
    </w:p>
    <w:p w14:paraId="72E479C0" w14:textId="5E0F1ED3" w:rsidR="001E70DC" w:rsidRPr="00BA2892" w:rsidRDefault="00336B9E" w:rsidP="003A05E1">
      <w:pPr>
        <w:numPr>
          <w:ilvl w:val="1"/>
          <w:numId w:val="19"/>
        </w:numPr>
        <w:ind w:left="1080"/>
        <w:contextualSpacing/>
      </w:pPr>
      <w:r>
        <w:t>R</w:t>
      </w:r>
      <w:r w:rsidR="001E70DC">
        <w:t xml:space="preserve">outinely encouraging parties to consider </w:t>
      </w:r>
      <w:r w:rsidR="00345250">
        <w:t>ECCR as an alternative to traditional dispute resolution mechanisms (e.g., hearings, appeals, litigation)</w:t>
      </w:r>
      <w:r w:rsidR="009B51AA">
        <w:t>.</w:t>
      </w:r>
    </w:p>
    <w:p w14:paraId="6FAE7E34" w14:textId="5DF31018" w:rsidR="000464E4" w:rsidRPr="00BA2892" w:rsidRDefault="009B51AA" w:rsidP="000464E4">
      <w:pPr>
        <w:numPr>
          <w:ilvl w:val="0"/>
          <w:numId w:val="19"/>
        </w:numPr>
        <w:contextualSpacing/>
        <w:rPr>
          <w:b/>
        </w:rPr>
      </w:pPr>
      <w:r>
        <w:rPr>
          <w:rFonts w:cs="Arial"/>
          <w:b/>
          <w:color w:val="000000"/>
        </w:rPr>
        <w:t>ECCR p</w:t>
      </w:r>
      <w:r w:rsidR="000464E4" w:rsidRPr="00BA2892">
        <w:rPr>
          <w:rFonts w:cs="Arial"/>
          <w:b/>
          <w:color w:val="000000"/>
        </w:rPr>
        <w:t>ersonnel</w:t>
      </w:r>
      <w:r>
        <w:rPr>
          <w:rFonts w:cs="Arial"/>
          <w:b/>
          <w:color w:val="000000"/>
        </w:rPr>
        <w:t xml:space="preserve"> and staff c</w:t>
      </w:r>
      <w:r w:rsidR="000464E4">
        <w:rPr>
          <w:rFonts w:cs="Arial"/>
          <w:b/>
          <w:color w:val="000000"/>
        </w:rPr>
        <w:t>apacity</w:t>
      </w:r>
      <w:r w:rsidR="002E4B90">
        <w:rPr>
          <w:rFonts w:cs="Arial"/>
          <w:color w:val="000000"/>
        </w:rPr>
        <w:t xml:space="preserve"> through</w:t>
      </w:r>
    </w:p>
    <w:p w14:paraId="100B9ADE" w14:textId="40A1663A" w:rsidR="009C2185" w:rsidRPr="007C26B2" w:rsidRDefault="00336B9E" w:rsidP="003A05E1">
      <w:pPr>
        <w:numPr>
          <w:ilvl w:val="1"/>
          <w:numId w:val="19"/>
        </w:numPr>
        <w:ind w:left="1080"/>
        <w:contextualSpacing/>
      </w:pPr>
      <w:r>
        <w:t>E</w:t>
      </w:r>
      <w:r w:rsidR="009C2185" w:rsidRPr="007C26B2">
        <w:t>ncourag</w:t>
      </w:r>
      <w:r w:rsidR="007C26B2">
        <w:t>ing</w:t>
      </w:r>
      <w:r w:rsidR="009C2185" w:rsidRPr="007C26B2">
        <w:t xml:space="preserve"> and provision of resources and training to staff to implement ECCR processes;</w:t>
      </w:r>
    </w:p>
    <w:p w14:paraId="142C8BB3" w14:textId="53034FDD" w:rsidR="000464E4" w:rsidRPr="009730B8" w:rsidRDefault="00336B9E" w:rsidP="003A05E1">
      <w:pPr>
        <w:numPr>
          <w:ilvl w:val="1"/>
          <w:numId w:val="19"/>
        </w:numPr>
        <w:ind w:left="1080"/>
        <w:contextualSpacing/>
        <w:rPr>
          <w:b/>
        </w:rPr>
      </w:pPr>
      <w:r>
        <w:rPr>
          <w:rFonts w:cs="Arial"/>
          <w:color w:val="000000"/>
        </w:rPr>
        <w:t>S</w:t>
      </w:r>
      <w:r w:rsidR="000464E4">
        <w:rPr>
          <w:rFonts w:cs="Arial"/>
          <w:color w:val="000000"/>
        </w:rPr>
        <w:t>upporting</w:t>
      </w:r>
      <w:r w:rsidR="000464E4" w:rsidRPr="00B801FE">
        <w:rPr>
          <w:rFonts w:cs="Arial"/>
          <w:color w:val="000000"/>
        </w:rPr>
        <w:t xml:space="preserve"> ECCR through the creation of positions with specific mand</w:t>
      </w:r>
      <w:r w:rsidR="000464E4">
        <w:rPr>
          <w:rFonts w:cs="Arial"/>
          <w:color w:val="000000"/>
        </w:rPr>
        <w:t>ates to promote ECCR principles, either exclusively or as part of their duties</w:t>
      </w:r>
      <w:r w:rsidR="009B51AA">
        <w:rPr>
          <w:rFonts w:cs="Arial"/>
          <w:color w:val="000000"/>
        </w:rPr>
        <w:t>;</w:t>
      </w:r>
    </w:p>
    <w:p w14:paraId="0BF820C8" w14:textId="1A90983B" w:rsidR="000464E4" w:rsidRPr="00BC701D" w:rsidRDefault="00336B9E" w:rsidP="003A05E1">
      <w:pPr>
        <w:numPr>
          <w:ilvl w:val="1"/>
          <w:numId w:val="19"/>
        </w:numPr>
        <w:ind w:left="1080"/>
        <w:contextualSpacing/>
        <w:rPr>
          <w:b/>
        </w:rPr>
      </w:pPr>
      <w:r>
        <w:rPr>
          <w:rFonts w:cs="Arial"/>
          <w:color w:val="000000"/>
        </w:rPr>
        <w:t>E</w:t>
      </w:r>
      <w:r w:rsidR="000464E4">
        <w:rPr>
          <w:rFonts w:cs="Arial"/>
          <w:color w:val="000000"/>
        </w:rPr>
        <w:t>stablishing programs to support public involvement and collaborative activities</w:t>
      </w:r>
      <w:r w:rsidR="009B51AA">
        <w:rPr>
          <w:rFonts w:cs="Arial"/>
          <w:color w:val="000000"/>
        </w:rPr>
        <w:t>;</w:t>
      </w:r>
    </w:p>
    <w:p w14:paraId="490E4876" w14:textId="41E00370" w:rsidR="000464E4" w:rsidRPr="0048474A" w:rsidRDefault="00336B9E" w:rsidP="003A05E1">
      <w:pPr>
        <w:numPr>
          <w:ilvl w:val="1"/>
          <w:numId w:val="19"/>
        </w:numPr>
        <w:ind w:left="1080"/>
        <w:contextualSpacing/>
        <w:rPr>
          <w:b/>
        </w:rPr>
      </w:pPr>
      <w:r>
        <w:rPr>
          <w:rFonts w:cs="Arial"/>
          <w:color w:val="000000"/>
        </w:rPr>
        <w:t>E</w:t>
      </w:r>
      <w:r w:rsidR="000464E4">
        <w:rPr>
          <w:rFonts w:cs="Arial"/>
          <w:color w:val="000000"/>
        </w:rPr>
        <w:t>ncouraging and supporting</w:t>
      </w:r>
      <w:r w:rsidR="000464E4" w:rsidRPr="00BA2892">
        <w:rPr>
          <w:rFonts w:cs="Arial"/>
          <w:color w:val="000000"/>
        </w:rPr>
        <w:t xml:space="preserve"> developmental assignments</w:t>
      </w:r>
      <w:r w:rsidR="009B51AA">
        <w:rPr>
          <w:rFonts w:cs="Arial"/>
          <w:color w:val="000000"/>
        </w:rPr>
        <w:t>; and</w:t>
      </w:r>
    </w:p>
    <w:p w14:paraId="43FEAC5C" w14:textId="502B913E" w:rsidR="000464E4" w:rsidRPr="00290DB0" w:rsidRDefault="00336B9E" w:rsidP="003A05E1">
      <w:pPr>
        <w:numPr>
          <w:ilvl w:val="1"/>
          <w:numId w:val="19"/>
        </w:numPr>
        <w:ind w:left="1080"/>
        <w:contextualSpacing/>
        <w:rPr>
          <w:b/>
        </w:rPr>
      </w:pPr>
      <w:r>
        <w:rPr>
          <w:rFonts w:cs="Arial"/>
          <w:color w:val="000000"/>
        </w:rPr>
        <w:t>A</w:t>
      </w:r>
      <w:r w:rsidR="000464E4">
        <w:rPr>
          <w:rFonts w:cs="Arial"/>
          <w:color w:val="000000"/>
        </w:rPr>
        <w:t>ppoint</w:t>
      </w:r>
      <w:r w:rsidR="009B51AA">
        <w:rPr>
          <w:rFonts w:cs="Arial"/>
          <w:color w:val="000000"/>
        </w:rPr>
        <w:t xml:space="preserve">ing </w:t>
      </w:r>
      <w:r w:rsidR="000464E4">
        <w:rPr>
          <w:rFonts w:cs="Arial"/>
          <w:color w:val="000000"/>
        </w:rPr>
        <w:t>ECCR</w:t>
      </w:r>
      <w:r w:rsidR="000464E4" w:rsidRPr="00DE0DBC">
        <w:rPr>
          <w:rFonts w:cs="Arial"/>
          <w:iCs/>
          <w:color w:val="000000"/>
        </w:rPr>
        <w:t xml:space="preserve"> coordinators</w:t>
      </w:r>
      <w:r w:rsidR="000464E4" w:rsidRPr="00DE0DBC">
        <w:rPr>
          <w:rFonts w:cs="Arial"/>
          <w:i/>
          <w:iCs/>
          <w:color w:val="000000"/>
        </w:rPr>
        <w:t xml:space="preserve"> </w:t>
      </w:r>
      <w:r w:rsidR="000464E4">
        <w:rPr>
          <w:rFonts w:cs="Arial"/>
          <w:color w:val="000000"/>
        </w:rPr>
        <w:t>with</w:t>
      </w:r>
      <w:r w:rsidR="000464E4" w:rsidRPr="00DE0DBC">
        <w:rPr>
          <w:rFonts w:cs="Arial"/>
          <w:color w:val="000000"/>
        </w:rPr>
        <w:t xml:space="preserve"> collateral duty positions in </w:t>
      </w:r>
      <w:r w:rsidR="000464E4">
        <w:rPr>
          <w:rFonts w:cs="Arial"/>
          <w:color w:val="000000"/>
        </w:rPr>
        <w:t>the field</w:t>
      </w:r>
      <w:r w:rsidR="009B51AA">
        <w:rPr>
          <w:rFonts w:cs="Arial"/>
          <w:color w:val="000000"/>
        </w:rPr>
        <w:t>.</w:t>
      </w:r>
    </w:p>
    <w:p w14:paraId="6E18AB0D" w14:textId="46A59153" w:rsidR="00F45197" w:rsidRPr="00BA2892" w:rsidRDefault="008666F6" w:rsidP="00F45197">
      <w:pPr>
        <w:keepNext/>
        <w:keepLines/>
        <w:numPr>
          <w:ilvl w:val="0"/>
          <w:numId w:val="19"/>
        </w:numPr>
        <w:contextualSpacing/>
        <w:rPr>
          <w:b/>
        </w:rPr>
      </w:pPr>
      <w:r>
        <w:rPr>
          <w:b/>
        </w:rPr>
        <w:t>I</w:t>
      </w:r>
      <w:r w:rsidR="009B51AA">
        <w:rPr>
          <w:b/>
        </w:rPr>
        <w:t>nter-a</w:t>
      </w:r>
      <w:r w:rsidR="00F45197" w:rsidRPr="00BA2892">
        <w:rPr>
          <w:b/>
        </w:rPr>
        <w:t xml:space="preserve">gency and </w:t>
      </w:r>
      <w:r w:rsidR="009B51AA">
        <w:rPr>
          <w:b/>
        </w:rPr>
        <w:t>intra-a</w:t>
      </w:r>
      <w:r w:rsidR="00F45197" w:rsidRPr="00BA2892">
        <w:rPr>
          <w:b/>
        </w:rPr>
        <w:t xml:space="preserve">gency ECCR </w:t>
      </w:r>
      <w:r w:rsidR="009B51AA">
        <w:rPr>
          <w:b/>
        </w:rPr>
        <w:t>c</w:t>
      </w:r>
      <w:r w:rsidR="00F45197" w:rsidRPr="00BA2892">
        <w:rPr>
          <w:b/>
        </w:rPr>
        <w:t>oordination</w:t>
      </w:r>
      <w:r w:rsidR="002E4B90">
        <w:t xml:space="preserve"> through</w:t>
      </w:r>
    </w:p>
    <w:p w14:paraId="4367161F" w14:textId="4B6DFABF" w:rsidR="00F45197" w:rsidRDefault="00336B9E" w:rsidP="003A05E1">
      <w:pPr>
        <w:keepNext/>
        <w:keepLines/>
        <w:numPr>
          <w:ilvl w:val="1"/>
          <w:numId w:val="19"/>
        </w:numPr>
        <w:ind w:left="1080"/>
        <w:contextualSpacing/>
      </w:pPr>
      <w:r>
        <w:t>F</w:t>
      </w:r>
      <w:r w:rsidR="009B51AA">
        <w:t>ostering i</w:t>
      </w:r>
      <w:r w:rsidR="00F45197" w:rsidRPr="00BA2892">
        <w:t>nter</w:t>
      </w:r>
      <w:r w:rsidR="005A4341">
        <w:t>-</w:t>
      </w:r>
      <w:r w:rsidR="00F45197" w:rsidRPr="00BA2892">
        <w:t>agency ECCR partnerships</w:t>
      </w:r>
      <w:r w:rsidR="00345250">
        <w:t>, agreements,</w:t>
      </w:r>
      <w:r w:rsidR="00F45197" w:rsidRPr="00BA2892">
        <w:t xml:space="preserve"> and communities of practice</w:t>
      </w:r>
      <w:r w:rsidR="002E4B90">
        <w:t>;</w:t>
      </w:r>
    </w:p>
    <w:p w14:paraId="15C46F04" w14:textId="198533C1" w:rsidR="000464E4" w:rsidRPr="00BA2892" w:rsidRDefault="00336B9E" w:rsidP="003A05E1">
      <w:pPr>
        <w:keepNext/>
        <w:keepLines/>
        <w:numPr>
          <w:ilvl w:val="1"/>
          <w:numId w:val="19"/>
        </w:numPr>
        <w:ind w:left="1080"/>
        <w:contextualSpacing/>
      </w:pPr>
      <w:r>
        <w:t>F</w:t>
      </w:r>
      <w:r w:rsidR="000464E4">
        <w:t>unding inter</w:t>
      </w:r>
      <w:r w:rsidR="005A4341">
        <w:t>-</w:t>
      </w:r>
      <w:r w:rsidR="000464E4">
        <w:t>agency liaison positions to facilitate consultation and communication</w:t>
      </w:r>
      <w:r w:rsidR="002E4B90">
        <w:t>; and</w:t>
      </w:r>
    </w:p>
    <w:p w14:paraId="500175FA" w14:textId="279CB381" w:rsidR="00F45197" w:rsidRPr="00341AFE" w:rsidRDefault="00336B9E" w:rsidP="003A05E1">
      <w:pPr>
        <w:keepNext/>
        <w:keepLines/>
        <w:numPr>
          <w:ilvl w:val="1"/>
          <w:numId w:val="19"/>
        </w:numPr>
        <w:ind w:left="1080"/>
        <w:contextualSpacing/>
      </w:pPr>
      <w:r>
        <w:t>D</w:t>
      </w:r>
      <w:r w:rsidR="00F45197" w:rsidRPr="00BA2892">
        <w:t>eveloping ECCR leadership and networks within departments and agencies</w:t>
      </w:r>
      <w:r w:rsidR="00341AFE">
        <w:t>, including peer-to-peer learning opportunities, webinars, and regular calls to identify ECCR needs</w:t>
      </w:r>
      <w:r w:rsidR="002E4B90">
        <w:t>.</w:t>
      </w:r>
    </w:p>
    <w:p w14:paraId="7A3AA2B3" w14:textId="64016DFC" w:rsidR="00F45197" w:rsidRPr="00BA2892" w:rsidRDefault="00F45197" w:rsidP="00F45197">
      <w:pPr>
        <w:numPr>
          <w:ilvl w:val="0"/>
          <w:numId w:val="19"/>
        </w:numPr>
        <w:contextualSpacing/>
        <w:rPr>
          <w:b/>
        </w:rPr>
      </w:pPr>
      <w:r w:rsidRPr="00BA2892">
        <w:rPr>
          <w:b/>
        </w:rPr>
        <w:t xml:space="preserve">ECCR </w:t>
      </w:r>
      <w:r w:rsidR="002E4B90">
        <w:rPr>
          <w:b/>
        </w:rPr>
        <w:t>skill-building e</w:t>
      </w:r>
      <w:r w:rsidRPr="00BA2892">
        <w:rPr>
          <w:b/>
        </w:rPr>
        <w:t>fforts</w:t>
      </w:r>
      <w:r w:rsidR="002E4B90">
        <w:t xml:space="preserve"> through</w:t>
      </w:r>
    </w:p>
    <w:p w14:paraId="3680B27A" w14:textId="1C95A222" w:rsidR="00F45197" w:rsidRPr="00BA2892" w:rsidRDefault="00336B9E" w:rsidP="003A05E1">
      <w:pPr>
        <w:numPr>
          <w:ilvl w:val="1"/>
          <w:numId w:val="19"/>
        </w:numPr>
        <w:ind w:left="1080"/>
        <w:contextualSpacing/>
      </w:pPr>
      <w:r>
        <w:t>I</w:t>
      </w:r>
      <w:r w:rsidR="009B51AA">
        <w:t>nvesting</w:t>
      </w:r>
      <w:r w:rsidR="00341AFE">
        <w:t xml:space="preserve"> in federal ECCR p</w:t>
      </w:r>
      <w:r w:rsidR="00F45197" w:rsidRPr="00BA2892">
        <w:t>ersonnel through training and professional development</w:t>
      </w:r>
      <w:r w:rsidR="002E4B90">
        <w:t>;</w:t>
      </w:r>
    </w:p>
    <w:p w14:paraId="024BB922" w14:textId="6DEE2C79" w:rsidR="00F45197" w:rsidRDefault="00336B9E" w:rsidP="003A05E1">
      <w:pPr>
        <w:numPr>
          <w:ilvl w:val="1"/>
          <w:numId w:val="19"/>
        </w:numPr>
        <w:ind w:left="1080"/>
        <w:contextualSpacing/>
      </w:pPr>
      <w:r>
        <w:t>O</w:t>
      </w:r>
      <w:r w:rsidR="002E4B90">
        <w:t>ffering i</w:t>
      </w:r>
      <w:r w:rsidR="00F45197" w:rsidRPr="00BA2892">
        <w:t>n-house and external ECCR training and capacity building in the form of classes, workshops, and “clinics” in subject areas including</w:t>
      </w:r>
      <w:r w:rsidR="00290DB0">
        <w:t xml:space="preserve"> conflict assessment,</w:t>
      </w:r>
      <w:r w:rsidR="00F45197" w:rsidRPr="00BA2892">
        <w:t xml:space="preserve"> facilitation, negotiation, conflict management, collaboration, </w:t>
      </w:r>
      <w:r w:rsidR="00F45197">
        <w:t xml:space="preserve">communication, </w:t>
      </w:r>
      <w:r w:rsidR="00F45197" w:rsidRPr="00BA2892">
        <w:t xml:space="preserve">public involvement, </w:t>
      </w:r>
      <w:r w:rsidR="00290DB0">
        <w:t xml:space="preserve">collaborative leadership, </w:t>
      </w:r>
      <w:r w:rsidR="00F45197" w:rsidRPr="00BA2892">
        <w:t>and dealing with difficult people</w:t>
      </w:r>
      <w:r w:rsidR="002E4B90">
        <w:t>;</w:t>
      </w:r>
      <w:r w:rsidR="00F45197" w:rsidRPr="00BA2892">
        <w:t xml:space="preserve"> </w:t>
      </w:r>
    </w:p>
    <w:p w14:paraId="2A0651E1" w14:textId="32BB79F9" w:rsidR="00290DB0" w:rsidRDefault="00336B9E" w:rsidP="003A05E1">
      <w:pPr>
        <w:numPr>
          <w:ilvl w:val="1"/>
          <w:numId w:val="19"/>
        </w:numPr>
        <w:ind w:left="1080"/>
        <w:contextualSpacing/>
      </w:pPr>
      <w:r>
        <w:t>I</w:t>
      </w:r>
      <w:r w:rsidR="00133490">
        <w:t>nstitutionalizing EC</w:t>
      </w:r>
      <w:r w:rsidR="00290DB0">
        <w:t>CR education through integration into regular agency curricula, certification programs, and career development training</w:t>
      </w:r>
      <w:r w:rsidR="002E4B90">
        <w:t>; and</w:t>
      </w:r>
    </w:p>
    <w:p w14:paraId="08477F7B" w14:textId="59F286B0" w:rsidR="00290DB0" w:rsidRPr="00BA2892" w:rsidRDefault="00336B9E" w:rsidP="003A05E1">
      <w:pPr>
        <w:numPr>
          <w:ilvl w:val="1"/>
          <w:numId w:val="19"/>
        </w:numPr>
        <w:ind w:left="1080"/>
        <w:contextualSpacing/>
      </w:pPr>
      <w:r>
        <w:t>E</w:t>
      </w:r>
      <w:r w:rsidR="00290DB0">
        <w:t>xpanding ECCR capacity throughout agencies</w:t>
      </w:r>
      <w:r w:rsidR="002E4B90">
        <w:t xml:space="preserve">, including </w:t>
      </w:r>
      <w:r w:rsidR="00290DB0">
        <w:t>districts and regional offices</w:t>
      </w:r>
      <w:r w:rsidR="002E4B90">
        <w:t>.</w:t>
      </w:r>
    </w:p>
    <w:p w14:paraId="2E09F36B" w14:textId="7E1D3F2C" w:rsidR="00F45197" w:rsidRPr="00BA2892" w:rsidRDefault="00F45197" w:rsidP="00F45197">
      <w:pPr>
        <w:numPr>
          <w:ilvl w:val="0"/>
          <w:numId w:val="19"/>
        </w:numPr>
        <w:contextualSpacing/>
        <w:rPr>
          <w:b/>
        </w:rPr>
      </w:pPr>
      <w:r w:rsidRPr="00BA2892">
        <w:rPr>
          <w:b/>
        </w:rPr>
        <w:t xml:space="preserve">ECCR </w:t>
      </w:r>
      <w:r w:rsidR="002E4B90">
        <w:rPr>
          <w:b/>
        </w:rPr>
        <w:t>capacity building and leveraging e</w:t>
      </w:r>
      <w:r w:rsidRPr="00BA2892">
        <w:rPr>
          <w:b/>
        </w:rPr>
        <w:t>fforts</w:t>
      </w:r>
      <w:r w:rsidR="002E4B90">
        <w:t xml:space="preserve"> through</w:t>
      </w:r>
    </w:p>
    <w:p w14:paraId="01A3EAA9" w14:textId="56626099" w:rsidR="00C844E3" w:rsidRDefault="00336B9E" w:rsidP="003A05E1">
      <w:pPr>
        <w:numPr>
          <w:ilvl w:val="1"/>
          <w:numId w:val="19"/>
        </w:numPr>
        <w:ind w:left="1080"/>
        <w:contextualSpacing/>
      </w:pPr>
      <w:r>
        <w:t>I</w:t>
      </w:r>
      <w:r w:rsidR="00ED035F">
        <w:t>ncreasing k</w:t>
      </w:r>
      <w:r w:rsidR="00C844E3">
        <w:t>nowledge management and transparent communications</w:t>
      </w:r>
      <w:r w:rsidR="00ED035F">
        <w:t>;</w:t>
      </w:r>
    </w:p>
    <w:p w14:paraId="4ECC0DD7" w14:textId="6A1DB087" w:rsidR="00F45197" w:rsidRPr="00BA2892" w:rsidRDefault="00336B9E" w:rsidP="003A05E1">
      <w:pPr>
        <w:numPr>
          <w:ilvl w:val="1"/>
          <w:numId w:val="19"/>
        </w:numPr>
        <w:ind w:left="1080"/>
        <w:contextualSpacing/>
      </w:pPr>
      <w:r>
        <w:t>E</w:t>
      </w:r>
      <w:r w:rsidR="00FE51BB">
        <w:t>xpanding and promoting</w:t>
      </w:r>
      <w:r w:rsidR="00F45197" w:rsidRPr="00BA2892">
        <w:t xml:space="preserve"> rosters and IDIQ contracts for non-governmental ECCR professionals (DOI, EPA, DOT, USIECR)</w:t>
      </w:r>
      <w:r w:rsidR="002E4B90">
        <w:t>;</w:t>
      </w:r>
      <w:r w:rsidR="00F45197" w:rsidRPr="00BA2892">
        <w:t xml:space="preserve"> </w:t>
      </w:r>
    </w:p>
    <w:p w14:paraId="053BC3E8" w14:textId="64D5468E" w:rsidR="00F45197" w:rsidRPr="00BA2892" w:rsidRDefault="00D05CAE" w:rsidP="003A05E1">
      <w:pPr>
        <w:numPr>
          <w:ilvl w:val="1"/>
          <w:numId w:val="19"/>
        </w:numPr>
        <w:ind w:left="1080"/>
        <w:contextualSpacing/>
      </w:pPr>
      <w:r>
        <w:t>I</w:t>
      </w:r>
      <w:r w:rsidR="002E4B90">
        <w:t>nvesting</w:t>
      </w:r>
      <w:r w:rsidR="00F45197" w:rsidRPr="00BA2892">
        <w:t xml:space="preserve"> in federal in-house rosters of facilitators and ECCR professionals</w:t>
      </w:r>
      <w:r w:rsidR="002E4B90">
        <w:t>;</w:t>
      </w:r>
      <w:r w:rsidR="00F45197" w:rsidRPr="00BA2892">
        <w:t xml:space="preserve"> </w:t>
      </w:r>
    </w:p>
    <w:p w14:paraId="08DD954D" w14:textId="0B1222E6" w:rsidR="0041102D" w:rsidRDefault="00D05CAE" w:rsidP="003A05E1">
      <w:pPr>
        <w:numPr>
          <w:ilvl w:val="1"/>
          <w:numId w:val="19"/>
        </w:numPr>
        <w:ind w:left="1080"/>
        <w:contextualSpacing/>
      </w:pPr>
      <w:r>
        <w:t>S</w:t>
      </w:r>
      <w:r w:rsidR="0041102D">
        <w:t>u</w:t>
      </w:r>
      <w:r w:rsidR="002E4B90">
        <w:t xml:space="preserve">pporting collaborative decision </w:t>
      </w:r>
      <w:r w:rsidR="0041102D">
        <w:t>making with technical</w:t>
      </w:r>
      <w:r w:rsidR="00A931C9">
        <w:t xml:space="preserve"> and scientific information and expertise</w:t>
      </w:r>
      <w:r w:rsidR="002E4B90">
        <w:t>;</w:t>
      </w:r>
    </w:p>
    <w:p w14:paraId="0C0E2A7E" w14:textId="3F268C4E" w:rsidR="002E4B90" w:rsidRPr="00BA2892" w:rsidRDefault="00D05CAE" w:rsidP="003A05E1">
      <w:pPr>
        <w:numPr>
          <w:ilvl w:val="1"/>
          <w:numId w:val="19"/>
        </w:numPr>
        <w:ind w:left="1080"/>
        <w:contextualSpacing/>
      </w:pPr>
      <w:r>
        <w:t>D</w:t>
      </w:r>
      <w:r w:rsidR="002E4B90" w:rsidRPr="001E70DC">
        <w:t>evelop</w:t>
      </w:r>
      <w:r w:rsidR="002E4B90">
        <w:t>ing</w:t>
      </w:r>
      <w:r w:rsidR="002E4B90" w:rsidRPr="001E70DC">
        <w:t xml:space="preserve"> local, state, regional, and national teams promoting collaborative planning to anticipate problems and identify alternative solutions early to reduce the likelihood and severity of environmental conflict (USACE)</w:t>
      </w:r>
      <w:r w:rsidR="002E4B90">
        <w:t>; and</w:t>
      </w:r>
    </w:p>
    <w:p w14:paraId="3DF3859F" w14:textId="0D8893EF" w:rsidR="00133490" w:rsidRPr="00BA2892" w:rsidRDefault="00D05CAE" w:rsidP="003A05E1">
      <w:pPr>
        <w:numPr>
          <w:ilvl w:val="1"/>
          <w:numId w:val="19"/>
        </w:numPr>
        <w:ind w:left="1080"/>
        <w:contextualSpacing/>
      </w:pPr>
      <w:r>
        <w:t>I</w:t>
      </w:r>
      <w:r w:rsidR="002E4B90">
        <w:t>nvesting</w:t>
      </w:r>
      <w:r w:rsidR="00133490" w:rsidRPr="00BA2892">
        <w:t xml:space="preserve"> in internal programs and assistance centers that support ECCR and deliver a suite of ECCR-related </w:t>
      </w:r>
      <w:r w:rsidR="00133490">
        <w:t>services</w:t>
      </w:r>
      <w:r w:rsidR="002E4B90">
        <w:t>, including consultation, conflict assessment, process design, mediation,</w:t>
      </w:r>
      <w:r w:rsidR="00133490" w:rsidRPr="00BA2892">
        <w:t xml:space="preserve"> facilitation</w:t>
      </w:r>
      <w:r w:rsidR="002E4B90">
        <w:t>,</w:t>
      </w:r>
      <w:r w:rsidR="00133490">
        <w:t xml:space="preserve"> training</w:t>
      </w:r>
      <w:r w:rsidR="002E4B90">
        <w:t>,</w:t>
      </w:r>
      <w:r w:rsidR="00133490">
        <w:t xml:space="preserve"> </w:t>
      </w:r>
      <w:r w:rsidR="00133490" w:rsidRPr="00BA2892">
        <w:t>centralized procure</w:t>
      </w:r>
      <w:r w:rsidR="002E4B90">
        <w:t>ment of contracted ECCR services,</w:t>
      </w:r>
      <w:r w:rsidR="00133490" w:rsidRPr="00BA2892">
        <w:t xml:space="preserve"> and support for communities of practice.  The following programs and centers are examples of these investments:</w:t>
      </w:r>
    </w:p>
    <w:p w14:paraId="4259F90E" w14:textId="2AAE5D6F" w:rsidR="00133490" w:rsidRPr="00BA2892" w:rsidRDefault="00133490" w:rsidP="003A05E1">
      <w:pPr>
        <w:numPr>
          <w:ilvl w:val="2"/>
          <w:numId w:val="26"/>
        </w:numPr>
        <w:ind w:left="1440"/>
        <w:contextualSpacing/>
      </w:pPr>
      <w:r w:rsidRPr="00BA2892">
        <w:t>Public Involvement Specialists Program (USACE-CPCX)</w:t>
      </w:r>
      <w:r w:rsidR="002E4B90">
        <w:t>;</w:t>
      </w:r>
    </w:p>
    <w:p w14:paraId="10B47531" w14:textId="4975564B" w:rsidR="00133490" w:rsidRDefault="00133490" w:rsidP="003A05E1">
      <w:pPr>
        <w:numPr>
          <w:ilvl w:val="2"/>
          <w:numId w:val="26"/>
        </w:numPr>
        <w:ind w:left="1440"/>
        <w:contextualSpacing/>
      </w:pPr>
      <w:r w:rsidRPr="00BA2892">
        <w:t>Collaboration and Public Participation C</w:t>
      </w:r>
      <w:r>
        <w:t>ommunity of Practice (USACE</w:t>
      </w:r>
      <w:r w:rsidRPr="00BA2892">
        <w:t>)</w:t>
      </w:r>
      <w:r w:rsidR="002E4B90">
        <w:t>;</w:t>
      </w:r>
    </w:p>
    <w:p w14:paraId="760089E0" w14:textId="17DA7809" w:rsidR="00133490" w:rsidRDefault="00133490" w:rsidP="003A05E1">
      <w:pPr>
        <w:numPr>
          <w:ilvl w:val="2"/>
          <w:numId w:val="26"/>
        </w:numPr>
        <w:ind w:left="1440"/>
        <w:contextualSpacing/>
      </w:pPr>
      <w:r>
        <w:t>Tribal Nations Technical Center of Expertise (USACE-TNTCX)</w:t>
      </w:r>
      <w:r w:rsidR="002E4B90">
        <w:t>;</w:t>
      </w:r>
    </w:p>
    <w:p w14:paraId="333BB9BA" w14:textId="66A86806" w:rsidR="00C844E3" w:rsidRPr="00BA2892" w:rsidRDefault="00C844E3" w:rsidP="003A05E1">
      <w:pPr>
        <w:numPr>
          <w:ilvl w:val="2"/>
          <w:numId w:val="26"/>
        </w:numPr>
        <w:ind w:left="1440"/>
        <w:contextualSpacing/>
      </w:pPr>
      <w:r>
        <w:t>Ci</w:t>
      </w:r>
      <w:r w:rsidR="00722A1E">
        <w:t>vil</w:t>
      </w:r>
      <w:r>
        <w:t xml:space="preserve"> Works Tr</w:t>
      </w:r>
      <w:r w:rsidR="00ED035F">
        <w:t>a</w:t>
      </w:r>
      <w:r>
        <w:t>nsformation SMART Planning</w:t>
      </w:r>
      <w:r w:rsidR="00ED035F">
        <w:t xml:space="preserve"> (USACE);</w:t>
      </w:r>
    </w:p>
    <w:p w14:paraId="0DB6559B" w14:textId="144947DA" w:rsidR="00133490" w:rsidRPr="00BA2892" w:rsidRDefault="00133490" w:rsidP="003A05E1">
      <w:pPr>
        <w:numPr>
          <w:ilvl w:val="2"/>
          <w:numId w:val="26"/>
        </w:numPr>
        <w:ind w:left="1440"/>
        <w:contextualSpacing/>
      </w:pPr>
      <w:r w:rsidRPr="00BA2892">
        <w:t>Conflict Prevention and Resolution Center (EPA)</w:t>
      </w:r>
      <w:r w:rsidR="002E4B90">
        <w:t>;</w:t>
      </w:r>
    </w:p>
    <w:p w14:paraId="0A83DE68" w14:textId="77777777" w:rsidR="00ED035F" w:rsidRDefault="00133490" w:rsidP="003A05E1">
      <w:pPr>
        <w:numPr>
          <w:ilvl w:val="2"/>
          <w:numId w:val="26"/>
        </w:numPr>
        <w:ind w:left="1440"/>
        <w:contextualSpacing/>
      </w:pPr>
      <w:r w:rsidRPr="00BA2892">
        <w:lastRenderedPageBreak/>
        <w:t>Collaborative Action and Dispute Resolution (DOI</w:t>
      </w:r>
      <w:r w:rsidR="0047521C">
        <w:t xml:space="preserve"> &amp; BLM</w:t>
      </w:r>
      <w:r w:rsidRPr="00BA2892">
        <w:t>)</w:t>
      </w:r>
      <w:r w:rsidR="002E4B90">
        <w:t>;</w:t>
      </w:r>
    </w:p>
    <w:p w14:paraId="26FEDF45" w14:textId="7DC2E7B5" w:rsidR="00133490" w:rsidRPr="00BA2892" w:rsidRDefault="00ED035F" w:rsidP="003A05E1">
      <w:pPr>
        <w:numPr>
          <w:ilvl w:val="2"/>
          <w:numId w:val="26"/>
        </w:numPr>
        <w:ind w:left="1440"/>
        <w:contextualSpacing/>
      </w:pPr>
      <w:r>
        <w:t>Pilot Program on Negotiation Skills (Air Force);</w:t>
      </w:r>
      <w:r w:rsidR="002E4B90">
        <w:t xml:space="preserve"> and</w:t>
      </w:r>
    </w:p>
    <w:p w14:paraId="6916B414" w14:textId="2A0F6204" w:rsidR="00884EB4" w:rsidRDefault="00133490" w:rsidP="00884EB4">
      <w:pPr>
        <w:numPr>
          <w:ilvl w:val="2"/>
          <w:numId w:val="26"/>
        </w:numPr>
        <w:ind w:left="1440"/>
        <w:contextualSpacing/>
      </w:pPr>
      <w:r w:rsidRPr="00BA2892">
        <w:t xml:space="preserve">Dispute Resolution </w:t>
      </w:r>
      <w:r w:rsidR="003632F2">
        <w:t>Service</w:t>
      </w:r>
      <w:r w:rsidR="003632F2" w:rsidRPr="00BA2892">
        <w:t xml:space="preserve"> </w:t>
      </w:r>
      <w:r w:rsidRPr="00BA2892">
        <w:t>(FERC)</w:t>
      </w:r>
      <w:r w:rsidR="002E4B90">
        <w:t>.</w:t>
      </w:r>
    </w:p>
    <w:p w14:paraId="71E1774C" w14:textId="72D6D54D" w:rsidR="00884EB4" w:rsidRDefault="00884EB4" w:rsidP="00884EB4">
      <w:pPr>
        <w:numPr>
          <w:ilvl w:val="2"/>
          <w:numId w:val="38"/>
        </w:numPr>
        <w:ind w:left="1080"/>
        <w:contextualSpacing/>
      </w:pPr>
      <w:r>
        <w:t xml:space="preserve">The NOAA Office of General Counsel is working to develop a more robust NOAA-wide ECCR program that will include a NOAA-wide ECCR policy to provide guidance to individual offices, an internal cadre of mediators and facilitators, and a training program. </w:t>
      </w:r>
    </w:p>
    <w:p w14:paraId="36C1D3A6" w14:textId="399B802B" w:rsidR="00631365" w:rsidRDefault="00631365" w:rsidP="00884EB4">
      <w:pPr>
        <w:numPr>
          <w:ilvl w:val="2"/>
          <w:numId w:val="38"/>
        </w:numPr>
        <w:ind w:left="1080"/>
        <w:contextualSpacing/>
      </w:pPr>
      <w:r>
        <w:t xml:space="preserve">DOT </w:t>
      </w:r>
      <w:r w:rsidRPr="0064295E">
        <w:t xml:space="preserve">FAA has updated its Community Involvement Manual, which identifies the use of facilitated conflict resolution </w:t>
      </w:r>
      <w:proofErr w:type="gramStart"/>
      <w:r w:rsidRPr="0064295E">
        <w:t>as a means to</w:t>
      </w:r>
      <w:proofErr w:type="gramEnd"/>
      <w:r w:rsidRPr="0064295E">
        <w:t xml:space="preserve"> address project issues. </w:t>
      </w:r>
      <w:r>
        <w:t xml:space="preserve"> </w:t>
      </w:r>
    </w:p>
    <w:p w14:paraId="3D4EAD29" w14:textId="79AB9AB1" w:rsidR="00F45197" w:rsidRPr="00BA2892" w:rsidRDefault="002E4B90" w:rsidP="00F45197">
      <w:pPr>
        <w:numPr>
          <w:ilvl w:val="0"/>
          <w:numId w:val="19"/>
        </w:numPr>
        <w:contextualSpacing/>
        <w:rPr>
          <w:b/>
        </w:rPr>
      </w:pPr>
      <w:r>
        <w:rPr>
          <w:b/>
        </w:rPr>
        <w:t>ECCR p</w:t>
      </w:r>
      <w:r w:rsidR="00F45197" w:rsidRPr="00BA2892">
        <w:rPr>
          <w:b/>
        </w:rPr>
        <w:t xml:space="preserve">artnership </w:t>
      </w:r>
      <w:r>
        <w:rPr>
          <w:b/>
        </w:rPr>
        <w:t>s</w:t>
      </w:r>
      <w:r w:rsidR="00133490">
        <w:rPr>
          <w:b/>
        </w:rPr>
        <w:t>upport</w:t>
      </w:r>
      <w:r>
        <w:rPr>
          <w:b/>
        </w:rPr>
        <w:t xml:space="preserve"> </w:t>
      </w:r>
      <w:r w:rsidRPr="002E4B90">
        <w:t>through</w:t>
      </w:r>
    </w:p>
    <w:p w14:paraId="1368E236" w14:textId="2260B778" w:rsidR="000C6D72" w:rsidRDefault="00D05CAE" w:rsidP="003A05E1">
      <w:pPr>
        <w:numPr>
          <w:ilvl w:val="1"/>
          <w:numId w:val="19"/>
        </w:numPr>
        <w:ind w:left="1080"/>
        <w:contextualSpacing/>
      </w:pPr>
      <w:r>
        <w:t>C</w:t>
      </w:r>
      <w:r w:rsidR="002E4B90">
        <w:t>ommitting in an ongoing way</w:t>
      </w:r>
      <w:r w:rsidR="00F45197" w:rsidRPr="00BA2892">
        <w:t xml:space="preserve"> to developing effective working relationships with federal, l</w:t>
      </w:r>
      <w:r w:rsidR="00133490">
        <w:t xml:space="preserve">ocal, </w:t>
      </w:r>
      <w:r w:rsidR="00734E31">
        <w:t>tribal</w:t>
      </w:r>
      <w:r w:rsidR="00F45197" w:rsidRPr="00BA2892">
        <w:t>, and community partners</w:t>
      </w:r>
      <w:r w:rsidR="002E4B90">
        <w:t>;</w:t>
      </w:r>
    </w:p>
    <w:p w14:paraId="0EA453D5" w14:textId="6322A31E" w:rsidR="00345250" w:rsidRDefault="00D05CAE" w:rsidP="00A16A46">
      <w:pPr>
        <w:numPr>
          <w:ilvl w:val="1"/>
          <w:numId w:val="19"/>
        </w:numPr>
        <w:ind w:left="1080"/>
        <w:contextualSpacing/>
      </w:pPr>
      <w:r>
        <w:t>B</w:t>
      </w:r>
      <w:r w:rsidR="000C6D72">
        <w:t>uilding capacity and incentives for stakeholders and partners to effectively engage in ECCR</w:t>
      </w:r>
      <w:r w:rsidR="00621B7F">
        <w:t xml:space="preserve">, including </w:t>
      </w:r>
      <w:r w:rsidR="000C6D72">
        <w:t>through</w:t>
      </w:r>
      <w:r w:rsidR="0011370F">
        <w:t xml:space="preserve"> </w:t>
      </w:r>
      <w:r w:rsidR="002E4B90">
        <w:t>outreach to stakeholders,</w:t>
      </w:r>
      <w:r w:rsidR="0011370F">
        <w:t xml:space="preserve"> </w:t>
      </w:r>
      <w:r w:rsidR="002E4B90">
        <w:t>joint training opportunities,</w:t>
      </w:r>
      <w:r w:rsidR="000C6D72">
        <w:t xml:space="preserve"> </w:t>
      </w:r>
      <w:r w:rsidR="00621B7F">
        <w:t>assistance in acquirin</w:t>
      </w:r>
      <w:r w:rsidR="002E4B90">
        <w:t xml:space="preserve">g third-party neutral services, </w:t>
      </w:r>
      <w:r w:rsidR="0011370F">
        <w:t>and partner recognition programs</w:t>
      </w:r>
      <w:r w:rsidR="002E4B90">
        <w:t>;</w:t>
      </w:r>
      <w:r w:rsidR="001F0690">
        <w:t xml:space="preserve"> </w:t>
      </w:r>
      <w:r w:rsidR="002E4B90">
        <w:t>and</w:t>
      </w:r>
    </w:p>
    <w:p w14:paraId="5895EECB" w14:textId="61683636" w:rsidR="00A931C9" w:rsidRPr="00BA2892" w:rsidRDefault="00D05CAE" w:rsidP="003A05E1">
      <w:pPr>
        <w:numPr>
          <w:ilvl w:val="1"/>
          <w:numId w:val="19"/>
        </w:numPr>
        <w:ind w:left="1080"/>
        <w:contextualSpacing/>
      </w:pPr>
      <w:r>
        <w:t>L</w:t>
      </w:r>
      <w:r w:rsidR="00A931C9">
        <w:t>aunching a stakeholder helpline service to offer early response to dispute-related calls (FERC)</w:t>
      </w:r>
      <w:r w:rsidR="002E4B90">
        <w:t>.</w:t>
      </w:r>
    </w:p>
    <w:p w14:paraId="65A6BB98" w14:textId="1D21171F" w:rsidR="00290DB0" w:rsidRPr="00290DB0" w:rsidRDefault="008666F6" w:rsidP="0095292D">
      <w:pPr>
        <w:numPr>
          <w:ilvl w:val="0"/>
          <w:numId w:val="19"/>
        </w:numPr>
        <w:contextualSpacing/>
        <w:rPr>
          <w:b/>
        </w:rPr>
      </w:pPr>
      <w:r>
        <w:rPr>
          <w:b/>
        </w:rPr>
        <w:t>E</w:t>
      </w:r>
      <w:r w:rsidR="002E4B90">
        <w:rPr>
          <w:b/>
        </w:rPr>
        <w:t>valuation of ECCR p</w:t>
      </w:r>
      <w:r w:rsidR="00290DB0" w:rsidRPr="0095292D">
        <w:rPr>
          <w:b/>
        </w:rPr>
        <w:t>rocesses</w:t>
      </w:r>
      <w:r w:rsidR="002E4B90">
        <w:rPr>
          <w:b/>
        </w:rPr>
        <w:t xml:space="preserve"> </w:t>
      </w:r>
      <w:r w:rsidR="002E4B90" w:rsidRPr="002E4B90">
        <w:t>through</w:t>
      </w:r>
    </w:p>
    <w:p w14:paraId="22A52FCD" w14:textId="4B5DBBC4" w:rsidR="00290DB0" w:rsidRPr="0095292D" w:rsidRDefault="00D05CAE" w:rsidP="003A05E1">
      <w:pPr>
        <w:numPr>
          <w:ilvl w:val="1"/>
          <w:numId w:val="19"/>
        </w:numPr>
        <w:ind w:left="1080"/>
        <w:contextualSpacing/>
      </w:pPr>
      <w:r>
        <w:t>D</w:t>
      </w:r>
      <w:r w:rsidR="00290DB0" w:rsidRPr="0095292D">
        <w:t>eveloping and improving methods and metrics for</w:t>
      </w:r>
      <w:r w:rsidR="001E70DC" w:rsidRPr="0095292D">
        <w:t xml:space="preserve"> tracking and</w:t>
      </w:r>
      <w:r w:rsidR="00290DB0" w:rsidRPr="0095292D">
        <w:t xml:space="preserve"> evaluating the </w:t>
      </w:r>
      <w:r w:rsidR="001E70DC" w:rsidRPr="0095292D">
        <w:t xml:space="preserve">use </w:t>
      </w:r>
      <w:r w:rsidR="00290DB0" w:rsidRPr="0095292D">
        <w:t>of ECCR processes</w:t>
      </w:r>
      <w:r w:rsidR="002E4B90">
        <w:t>; and</w:t>
      </w:r>
    </w:p>
    <w:p w14:paraId="750FA74E" w14:textId="1209356C" w:rsidR="00290DB0" w:rsidRPr="0095292D" w:rsidRDefault="00D05CAE" w:rsidP="003A05E1">
      <w:pPr>
        <w:numPr>
          <w:ilvl w:val="1"/>
          <w:numId w:val="19"/>
        </w:numPr>
        <w:ind w:left="1080"/>
        <w:contextualSpacing/>
      </w:pPr>
      <w:r>
        <w:t>D</w:t>
      </w:r>
      <w:r w:rsidR="00290DB0" w:rsidRPr="0095292D">
        <w:t xml:space="preserve">ocumenting the </w:t>
      </w:r>
      <w:r w:rsidR="001E70DC" w:rsidRPr="0095292D">
        <w:t xml:space="preserve">performance </w:t>
      </w:r>
      <w:r w:rsidR="00290DB0" w:rsidRPr="0095292D">
        <w:t>of ECCR processes through case studies and lessons learned</w:t>
      </w:r>
      <w:r w:rsidR="002E4B90">
        <w:t>.</w:t>
      </w:r>
    </w:p>
    <w:p w14:paraId="3EB6B119" w14:textId="52A84982" w:rsidR="005047AC" w:rsidRPr="000521FC" w:rsidRDefault="00C93D48" w:rsidP="002456E9">
      <w:pPr>
        <w:pStyle w:val="Heading1"/>
        <w:rPr>
          <w:color w:val="auto"/>
        </w:rPr>
      </w:pPr>
      <w:r w:rsidRPr="000521FC">
        <w:rPr>
          <w:color w:val="auto"/>
        </w:rPr>
        <w:t>Benefits</w:t>
      </w:r>
      <w:r w:rsidR="005047AC" w:rsidRPr="000521FC">
        <w:rPr>
          <w:color w:val="auto"/>
        </w:rPr>
        <w:t xml:space="preserve"> of ECCR</w:t>
      </w:r>
      <w:r w:rsidR="006A28ED" w:rsidRPr="000521FC">
        <w:rPr>
          <w:color w:val="auto"/>
        </w:rPr>
        <w:t xml:space="preserve"> </w:t>
      </w:r>
    </w:p>
    <w:p w14:paraId="7D231F60" w14:textId="1052A367" w:rsidR="00FF4016" w:rsidRDefault="00980ACD" w:rsidP="00992D2F">
      <w:pPr>
        <w:spacing w:after="0" w:line="240" w:lineRule="auto"/>
        <w:ind w:right="-144"/>
      </w:pPr>
      <w:r>
        <w:t xml:space="preserve">In FY </w:t>
      </w:r>
      <w:r w:rsidR="000521FC">
        <w:t>2016</w:t>
      </w:r>
      <w:r>
        <w:t xml:space="preserve">, </w:t>
      </w:r>
      <w:proofErr w:type="gramStart"/>
      <w:r>
        <w:t>the majority of</w:t>
      </w:r>
      <w:proofErr w:type="gramEnd"/>
      <w:r>
        <w:t xml:space="preserve"> d</w:t>
      </w:r>
      <w:r w:rsidRPr="00A71E14">
        <w:t xml:space="preserve">epartments and agencies </w:t>
      </w:r>
      <w:r w:rsidR="0005479D">
        <w:t>reported</w:t>
      </w:r>
      <w:r>
        <w:t xml:space="preserve"> </w:t>
      </w:r>
      <w:r w:rsidRPr="00A71E14">
        <w:t>on the benefits of ECCR based on observations and recorded qualitative outcomes</w:t>
      </w:r>
      <w:r>
        <w:t xml:space="preserve">, while a select number of agencies tracked this data through formal methods </w:t>
      </w:r>
      <w:r w:rsidR="00D3054B">
        <w:t xml:space="preserve">that </w:t>
      </w:r>
      <w:r>
        <w:t>included both qua</w:t>
      </w:r>
      <w:r w:rsidR="00F159E9">
        <w:t xml:space="preserve">ntitative and qualitative data. </w:t>
      </w:r>
      <w:r w:rsidR="00F159E9" w:rsidRPr="00ED0D2E">
        <w:t xml:space="preserve">Those </w:t>
      </w:r>
      <w:r w:rsidR="00E36E92" w:rsidRPr="00ED0D2E">
        <w:t xml:space="preserve">agencies that tracked benefits quantitatively </w:t>
      </w:r>
      <w:r w:rsidR="00734E31" w:rsidRPr="00ED0D2E">
        <w:t xml:space="preserve">(EPA, FERC) </w:t>
      </w:r>
      <w:r w:rsidR="00E36E92" w:rsidRPr="00ED0D2E">
        <w:t>reported</w:t>
      </w:r>
      <w:r w:rsidR="00DC42C4" w:rsidRPr="00ED0D2E">
        <w:t xml:space="preserve"> that</w:t>
      </w:r>
      <w:r w:rsidR="00E36E92" w:rsidRPr="00ED0D2E">
        <w:t xml:space="preserve"> ECCR processes saved staff time and travel costs compared to </w:t>
      </w:r>
      <w:r w:rsidR="00122A24" w:rsidRPr="00ED0D2E">
        <w:t xml:space="preserve">alternative processes, such as litigation and unassisted negotiation. </w:t>
      </w:r>
    </w:p>
    <w:p w14:paraId="7EC33B1D" w14:textId="77777777" w:rsidR="00FF4016" w:rsidRDefault="00FF4016" w:rsidP="00992D2F">
      <w:pPr>
        <w:spacing w:after="0" w:line="240" w:lineRule="auto"/>
        <w:ind w:right="-144"/>
      </w:pPr>
    </w:p>
    <w:p w14:paraId="40C50A1A" w14:textId="3A022AC7" w:rsidR="00F159E9" w:rsidRPr="00452B9F" w:rsidRDefault="00E92B5A" w:rsidP="00992D2F">
      <w:pPr>
        <w:spacing w:after="0" w:line="240" w:lineRule="auto"/>
        <w:ind w:right="-144"/>
      </w:pPr>
      <w:r w:rsidRPr="00452B9F">
        <w:t xml:space="preserve">EPA conducted a study comparing ECCR to alternative </w:t>
      </w:r>
      <w:r w:rsidR="003A05E1" w:rsidRPr="00452B9F">
        <w:t>decision-making</w:t>
      </w:r>
      <w:r w:rsidRPr="00452B9F">
        <w:t xml:space="preserve"> processes. The findings from this study found that </w:t>
      </w:r>
      <w:r w:rsidR="00A71735">
        <w:t>“</w:t>
      </w:r>
      <w:r w:rsidRPr="00452B9F">
        <w:t xml:space="preserve">ECCR processes required 45% fewer weeks to reach a </w:t>
      </w:r>
      <w:r w:rsidR="00452B9F" w:rsidRPr="00452B9F">
        <w:t>decision</w:t>
      </w:r>
      <w:r w:rsidRPr="00452B9F">
        <w:t xml:space="preserve"> than litigation.</w:t>
      </w:r>
      <w:r w:rsidR="00A71735">
        <w:t>”</w:t>
      </w:r>
      <w:r w:rsidRPr="00452B9F">
        <w:t xml:space="preserve"> </w:t>
      </w:r>
      <w:r w:rsidR="00250A03">
        <w:t xml:space="preserve">This results in lower costs for the Agency. The study also found that </w:t>
      </w:r>
      <w:r w:rsidR="00A71735">
        <w:t>“</w:t>
      </w:r>
      <w:r w:rsidR="00250A03">
        <w:t>ECCR processes required 30% fewer staff members than litigation.</w:t>
      </w:r>
      <w:r w:rsidR="00A71735">
        <w:t xml:space="preserve">” </w:t>
      </w:r>
      <w:r w:rsidRPr="00452B9F">
        <w:t xml:space="preserve">FERC reported that their Commission has a track record for timely closure and resolution of ECCR cases, closing </w:t>
      </w:r>
      <w:proofErr w:type="gramStart"/>
      <w:r w:rsidRPr="00452B9F">
        <w:t>the majority of</w:t>
      </w:r>
      <w:proofErr w:type="gramEnd"/>
      <w:r w:rsidRPr="00452B9F">
        <w:t xml:space="preserve"> cases within 6 months. </w:t>
      </w:r>
    </w:p>
    <w:p w14:paraId="504423FF" w14:textId="4C98A59A" w:rsidR="002F5C34" w:rsidRDefault="002F5C34" w:rsidP="00992D2F">
      <w:pPr>
        <w:spacing w:after="0" w:line="240" w:lineRule="auto"/>
        <w:ind w:right="-144"/>
      </w:pPr>
    </w:p>
    <w:p w14:paraId="109E062C" w14:textId="4E3A1D91" w:rsidR="00B30906" w:rsidRDefault="00205B06" w:rsidP="00992D2F">
      <w:pPr>
        <w:spacing w:after="0" w:line="240" w:lineRule="auto"/>
        <w:ind w:right="-144"/>
      </w:pPr>
      <w:r w:rsidRPr="000E194E">
        <w:t>The</w:t>
      </w:r>
      <w:r w:rsidR="00EF6A70" w:rsidRPr="000E194E">
        <w:t xml:space="preserve"> </w:t>
      </w:r>
      <w:r w:rsidR="00B30906" w:rsidRPr="000E194E">
        <w:t>suite of</w:t>
      </w:r>
      <w:r w:rsidR="00F159E9">
        <w:t xml:space="preserve"> qualitative</w:t>
      </w:r>
      <w:r w:rsidR="00A07F66" w:rsidRPr="000E194E">
        <w:t xml:space="preserve"> </w:t>
      </w:r>
      <w:r w:rsidR="00B30906" w:rsidRPr="000E194E">
        <w:t>ECCR benefits</w:t>
      </w:r>
      <w:r w:rsidR="00A07F66" w:rsidRPr="000E194E">
        <w:t xml:space="preserve"> </w:t>
      </w:r>
      <w:r w:rsidR="008B5303" w:rsidRPr="000E194E">
        <w:t>identified by</w:t>
      </w:r>
      <w:r w:rsidR="00A07F66" w:rsidRPr="000E194E">
        <w:t xml:space="preserve"> departments and agencies </w:t>
      </w:r>
      <w:r w:rsidR="007362D2">
        <w:t xml:space="preserve">in FY </w:t>
      </w:r>
      <w:r w:rsidR="0051667C">
        <w:t>201</w:t>
      </w:r>
      <w:r w:rsidR="001552EA">
        <w:t xml:space="preserve">6 </w:t>
      </w:r>
      <w:r w:rsidR="00A07F66" w:rsidRPr="000E194E">
        <w:t>include</w:t>
      </w:r>
      <w:r w:rsidR="008B5303" w:rsidRPr="000E194E">
        <w:t>d</w:t>
      </w:r>
      <w:r w:rsidR="003904D2">
        <w:t xml:space="preserve"> the following</w:t>
      </w:r>
      <w:r w:rsidR="00A07F66" w:rsidRPr="000E194E">
        <w:t>:</w:t>
      </w:r>
      <w:r w:rsidR="009F20CC" w:rsidRPr="000E194E">
        <w:t xml:space="preserve"> </w:t>
      </w:r>
      <w:r w:rsidR="005C4F10" w:rsidRPr="000E194E">
        <w:t xml:space="preserve"> </w:t>
      </w:r>
    </w:p>
    <w:p w14:paraId="6DFF89A0" w14:textId="77777777" w:rsidR="0065339E" w:rsidRDefault="0065339E" w:rsidP="00992D2F">
      <w:pPr>
        <w:spacing w:after="0" w:line="240" w:lineRule="auto"/>
      </w:pPr>
    </w:p>
    <w:p w14:paraId="30AE4E5D" w14:textId="4D0D11BE" w:rsidR="00E36E92" w:rsidRDefault="00D05CAE" w:rsidP="00E36E92">
      <w:pPr>
        <w:pStyle w:val="ListParagraph"/>
        <w:numPr>
          <w:ilvl w:val="0"/>
          <w:numId w:val="19"/>
        </w:numPr>
      </w:pPr>
      <w:r>
        <w:rPr>
          <w:b/>
        </w:rPr>
        <w:t>B</w:t>
      </w:r>
      <w:r w:rsidR="00DC42C4" w:rsidRPr="00DC42C4">
        <w:rPr>
          <w:b/>
        </w:rPr>
        <w:t>etter relationships:</w:t>
      </w:r>
      <w:r w:rsidR="00DC42C4">
        <w:t xml:space="preserve">  </w:t>
      </w:r>
      <w:r>
        <w:t>I</w:t>
      </w:r>
      <w:r w:rsidR="00E36E92">
        <w:t xml:space="preserve">ncreased trust and improved long-term working relationships among </w:t>
      </w:r>
      <w:r w:rsidR="005E4D34">
        <w:t xml:space="preserve">agencies and </w:t>
      </w:r>
      <w:r w:rsidR="00E36E92">
        <w:t>stakeholders</w:t>
      </w:r>
      <w:r w:rsidR="008666F6">
        <w:t>;</w:t>
      </w:r>
    </w:p>
    <w:p w14:paraId="273C23B4" w14:textId="6C1E5990" w:rsidR="00C82B2E" w:rsidRPr="00C82B2E" w:rsidRDefault="00D05CAE" w:rsidP="002456E9">
      <w:pPr>
        <w:pStyle w:val="ListParagraph"/>
        <w:numPr>
          <w:ilvl w:val="0"/>
          <w:numId w:val="19"/>
        </w:numPr>
      </w:pPr>
      <w:r>
        <w:rPr>
          <w:b/>
        </w:rPr>
        <w:t>M</w:t>
      </w:r>
      <w:r w:rsidR="00DC42C4" w:rsidRPr="00DC42C4">
        <w:rPr>
          <w:b/>
        </w:rPr>
        <w:t>ore efficient operations:</w:t>
      </w:r>
      <w:r w:rsidR="00DC42C4">
        <w:t xml:space="preserve">  </w:t>
      </w:r>
      <w:r>
        <w:t>E</w:t>
      </w:r>
      <w:r w:rsidR="00C82B2E" w:rsidRPr="00C82B2E">
        <w:t>fficiencies in process and reduction in process time in activity areas such as planning, permitting, licensing, and remediation</w:t>
      </w:r>
      <w:r w:rsidR="008666F6">
        <w:t>;</w:t>
      </w:r>
      <w:r w:rsidR="00B648DF">
        <w:t xml:space="preserve"> expedited reviews; increased knowledge sharing between agencies and stakeholders;</w:t>
      </w:r>
      <w:r w:rsidR="00F334A5">
        <w:t xml:space="preserve"> reduction in duplicative efforts;</w:t>
      </w:r>
    </w:p>
    <w:p w14:paraId="2BDA669B" w14:textId="1B5C2B56" w:rsidR="00DC42C4" w:rsidRDefault="00D05CAE" w:rsidP="00DC42C4">
      <w:pPr>
        <w:pStyle w:val="ListParagraph"/>
        <w:numPr>
          <w:ilvl w:val="0"/>
          <w:numId w:val="19"/>
        </w:numPr>
      </w:pPr>
      <w:r>
        <w:rPr>
          <w:b/>
        </w:rPr>
        <w:t>R</w:t>
      </w:r>
      <w:r w:rsidR="00DC42C4" w:rsidRPr="00DC42C4">
        <w:rPr>
          <w:b/>
        </w:rPr>
        <w:t>esource savings:</w:t>
      </w:r>
      <w:r>
        <w:t xml:space="preserve">  R</w:t>
      </w:r>
      <w:r w:rsidR="00DC42C4">
        <w:t>esource savings from</w:t>
      </w:r>
      <w:r w:rsidR="001552EA">
        <w:t xml:space="preserve"> </w:t>
      </w:r>
      <w:r w:rsidR="00DC42C4">
        <w:t>better coordination, streamlined processes, and more timely dispute resolution, particularly in enforcement actions</w:t>
      </w:r>
      <w:r w:rsidR="008666F6">
        <w:t>;</w:t>
      </w:r>
    </w:p>
    <w:p w14:paraId="5329EE34" w14:textId="6A02798F" w:rsidR="001552EA" w:rsidRDefault="00D05CAE" w:rsidP="00DC42C4">
      <w:pPr>
        <w:pStyle w:val="ListParagraph"/>
        <w:numPr>
          <w:ilvl w:val="0"/>
          <w:numId w:val="19"/>
        </w:numPr>
      </w:pPr>
      <w:r>
        <w:rPr>
          <w:b/>
        </w:rPr>
        <w:t>C</w:t>
      </w:r>
      <w:r w:rsidR="001552EA">
        <w:rPr>
          <w:b/>
        </w:rPr>
        <w:t>ost savings:</w:t>
      </w:r>
      <w:r>
        <w:t xml:space="preserve"> A</w:t>
      </w:r>
      <w:r w:rsidR="001552EA">
        <w:t>voidance of litigation and the costs associated with the process;</w:t>
      </w:r>
    </w:p>
    <w:p w14:paraId="2C233853" w14:textId="3841C180" w:rsidR="00C82B2E" w:rsidRPr="00C82B2E" w:rsidRDefault="00D05CAE" w:rsidP="002456E9">
      <w:pPr>
        <w:pStyle w:val="ListParagraph"/>
        <w:numPr>
          <w:ilvl w:val="0"/>
          <w:numId w:val="19"/>
        </w:numPr>
      </w:pPr>
      <w:r>
        <w:rPr>
          <w:b/>
        </w:rPr>
        <w:lastRenderedPageBreak/>
        <w:t>I</w:t>
      </w:r>
      <w:r w:rsidR="00DC42C4" w:rsidRPr="00DC42C4">
        <w:rPr>
          <w:b/>
        </w:rPr>
        <w:t xml:space="preserve">ncreased communication:  </w:t>
      </w:r>
      <w:r>
        <w:t>M</w:t>
      </w:r>
      <w:r w:rsidR="00F44293">
        <w:t>ore frequent</w:t>
      </w:r>
      <w:r w:rsidR="00993B7A">
        <w:t xml:space="preserve">, </w:t>
      </w:r>
      <w:r w:rsidR="00F44293">
        <w:t>effective communication</w:t>
      </w:r>
      <w:r w:rsidR="00122A24">
        <w:t xml:space="preserve"> between multiple </w:t>
      </w:r>
      <w:r w:rsidR="00773A59">
        <w:t>government</w:t>
      </w:r>
      <w:r w:rsidR="00122A24">
        <w:t xml:space="preserve"> entities</w:t>
      </w:r>
      <w:r w:rsidR="00773A59">
        <w:t xml:space="preserve"> and with the public</w:t>
      </w:r>
      <w:r w:rsidR="008666F6">
        <w:t>;</w:t>
      </w:r>
    </w:p>
    <w:p w14:paraId="6545DE75" w14:textId="0F71E2ED" w:rsidR="007362D2" w:rsidRDefault="00D05CAE" w:rsidP="002456E9">
      <w:pPr>
        <w:pStyle w:val="ListParagraph"/>
        <w:numPr>
          <w:ilvl w:val="0"/>
          <w:numId w:val="19"/>
        </w:numPr>
      </w:pPr>
      <w:r>
        <w:rPr>
          <w:b/>
        </w:rPr>
        <w:t>B</w:t>
      </w:r>
      <w:r w:rsidR="00DC42C4" w:rsidRPr="00DC42C4">
        <w:rPr>
          <w:b/>
        </w:rPr>
        <w:t xml:space="preserve">etter understanding: </w:t>
      </w:r>
      <w:r w:rsidR="00DC42C4">
        <w:t xml:space="preserve"> </w:t>
      </w:r>
      <w:r>
        <w:t>I</w:t>
      </w:r>
      <w:r w:rsidR="007362D2">
        <w:t>mproved communication of all parties’ interests, goals</w:t>
      </w:r>
      <w:r w:rsidR="003904D2">
        <w:t>,</w:t>
      </w:r>
      <w:r w:rsidR="007362D2">
        <w:t xml:space="preserve"> and concerns, resulting in more focused outcomes, better understanding of issues</w:t>
      </w:r>
      <w:r w:rsidR="00F159E9">
        <w:t xml:space="preserve"> and roles</w:t>
      </w:r>
      <w:r w:rsidR="007362D2">
        <w:t>, and narrowing of the range of disagreement</w:t>
      </w:r>
      <w:r w:rsidR="008666F6">
        <w:t>;</w:t>
      </w:r>
    </w:p>
    <w:p w14:paraId="795CC1AC" w14:textId="57E79C52" w:rsidR="00035731" w:rsidRDefault="00D05CAE" w:rsidP="002456E9">
      <w:pPr>
        <w:pStyle w:val="ListParagraph"/>
        <w:numPr>
          <w:ilvl w:val="0"/>
          <w:numId w:val="19"/>
        </w:numPr>
      </w:pPr>
      <w:r>
        <w:rPr>
          <w:b/>
        </w:rPr>
        <w:t>E</w:t>
      </w:r>
      <w:r w:rsidR="00DC42C4" w:rsidRPr="00DC42C4">
        <w:rPr>
          <w:b/>
        </w:rPr>
        <w:t>nhanced skills and planning:</w:t>
      </w:r>
      <w:r w:rsidR="00DC42C4">
        <w:t xml:space="preserve">  </w:t>
      </w:r>
      <w:r>
        <w:t>I</w:t>
      </w:r>
      <w:r w:rsidR="00035731">
        <w:t>ncreased ECCR skills among staff</w:t>
      </w:r>
      <w:r w:rsidR="00F159E9">
        <w:t xml:space="preserve">, such as insights </w:t>
      </w:r>
      <w:r w:rsidR="005E4D34">
        <w:t xml:space="preserve">into </w:t>
      </w:r>
      <w:r w:rsidR="00F159E9">
        <w:t>the decision-making process and the needs of stakeholders, leading to improved planning for future processes</w:t>
      </w:r>
      <w:r w:rsidR="008666F6">
        <w:t xml:space="preserve">; </w:t>
      </w:r>
      <w:r w:rsidR="00F334A5">
        <w:t xml:space="preserve">better planning for early dialogue; </w:t>
      </w:r>
      <w:r w:rsidR="008666F6">
        <w:t>and</w:t>
      </w:r>
    </w:p>
    <w:p w14:paraId="6D26FB50" w14:textId="427ABCF9" w:rsidR="00AA1055" w:rsidRDefault="00D05CAE" w:rsidP="00AA1055">
      <w:pPr>
        <w:pStyle w:val="ListParagraph"/>
        <w:numPr>
          <w:ilvl w:val="0"/>
          <w:numId w:val="19"/>
        </w:numPr>
      </w:pPr>
      <w:r>
        <w:rPr>
          <w:b/>
        </w:rPr>
        <w:t>B</w:t>
      </w:r>
      <w:r w:rsidR="003A0D68">
        <w:rPr>
          <w:b/>
        </w:rPr>
        <w:t>etter</w:t>
      </w:r>
      <w:r w:rsidR="00DC42C4" w:rsidRPr="00DC42C4">
        <w:rPr>
          <w:b/>
        </w:rPr>
        <w:t xml:space="preserve"> and </w:t>
      </w:r>
      <w:r w:rsidR="00DC42C4">
        <w:rPr>
          <w:b/>
        </w:rPr>
        <w:t xml:space="preserve">more </w:t>
      </w:r>
      <w:r w:rsidR="00DC42C4" w:rsidRPr="00DC42C4">
        <w:rPr>
          <w:b/>
        </w:rPr>
        <w:t>durable outcomes:</w:t>
      </w:r>
      <w:r>
        <w:t xml:space="preserve">  M</w:t>
      </w:r>
      <w:r w:rsidR="00DC42C4">
        <w:t xml:space="preserve">ore </w:t>
      </w:r>
      <w:r w:rsidR="007362D2">
        <w:t xml:space="preserve">creative </w:t>
      </w:r>
      <w:r w:rsidR="00035731">
        <w:t xml:space="preserve">and durable </w:t>
      </w:r>
      <w:r w:rsidR="007362D2">
        <w:t>solutions to disagreements</w:t>
      </w:r>
      <w:r w:rsidR="00E36E92">
        <w:t>, even those that are long-term or entrenched</w:t>
      </w:r>
      <w:r w:rsidR="00F159E9">
        <w:t>;</w:t>
      </w:r>
      <w:r w:rsidR="007362D2">
        <w:t xml:space="preserve"> improvements in environmental </w:t>
      </w:r>
      <w:r w:rsidR="00F159E9">
        <w:t>and socio-economic conditions; improved community resilience;</w:t>
      </w:r>
      <w:r w:rsidR="00FF4016">
        <w:t xml:space="preserve"> advancement of the agency’s mission;</w:t>
      </w:r>
      <w:r w:rsidR="00F159E9">
        <w:t xml:space="preserve"> and</w:t>
      </w:r>
      <w:r w:rsidR="007362D2">
        <w:t xml:space="preserve"> increased stakeholder </w:t>
      </w:r>
      <w:r w:rsidR="00035731">
        <w:t xml:space="preserve">buy-in and </w:t>
      </w:r>
      <w:r w:rsidR="007362D2">
        <w:t>ownership of solutions</w:t>
      </w:r>
      <w:r w:rsidR="008666F6">
        <w:t>.</w:t>
      </w:r>
    </w:p>
    <w:p w14:paraId="098144BE" w14:textId="5CD5A384" w:rsidR="009811CD" w:rsidRDefault="004028F4" w:rsidP="00992D2F">
      <w:pPr>
        <w:spacing w:after="0" w:line="240" w:lineRule="auto"/>
      </w:pPr>
      <w:r w:rsidRPr="000E194E">
        <w:t xml:space="preserve">In addition to identifying general categories of ECCR benefits, the departments and agencies provided examples </w:t>
      </w:r>
      <w:r w:rsidR="00BC65CB">
        <w:t xml:space="preserve">of </w:t>
      </w:r>
      <w:r w:rsidR="00F2627F">
        <w:t>cases</w:t>
      </w:r>
      <w:r w:rsidR="00C54F38">
        <w:t xml:space="preserve"> and projects</w:t>
      </w:r>
      <w:r w:rsidR="00F2627F">
        <w:t xml:space="preserve"> highlighting the benefits of ECCR</w:t>
      </w:r>
      <w:r w:rsidR="008666F6">
        <w:t xml:space="preserve">. </w:t>
      </w:r>
      <w:r w:rsidR="00805EDC">
        <w:t xml:space="preserve">A selection of these cases is reported </w:t>
      </w:r>
      <w:r w:rsidR="003A05E1">
        <w:t>below.</w:t>
      </w:r>
    </w:p>
    <w:p w14:paraId="5477B0D9" w14:textId="3730F8DB" w:rsidR="00805EDC" w:rsidRDefault="00805EDC" w:rsidP="00992D2F">
      <w:pPr>
        <w:spacing w:after="0" w:line="240" w:lineRule="auto"/>
      </w:pPr>
    </w:p>
    <w:p w14:paraId="7EDDFBDA" w14:textId="143E8F06" w:rsidR="00832AE7" w:rsidRPr="00B648DF" w:rsidRDefault="00832AE7" w:rsidP="00832AE7">
      <w:pPr>
        <w:spacing w:after="0" w:line="240" w:lineRule="auto"/>
        <w:ind w:right="-288"/>
        <w:rPr>
          <w:rFonts w:ascii="Segoe UI" w:hAnsi="Segoe UI" w:cs="Segoe UI"/>
        </w:rPr>
      </w:pPr>
      <w:r w:rsidRPr="00FF4E29">
        <w:rPr>
          <w:rFonts w:ascii="Segoe UI" w:hAnsi="Segoe UI" w:cs="Segoe UI"/>
          <w:b/>
        </w:rPr>
        <w:t>Examples of FY 201</w:t>
      </w:r>
      <w:r w:rsidR="00B648DF" w:rsidRPr="00FF4E29">
        <w:rPr>
          <w:rFonts w:ascii="Segoe UI" w:hAnsi="Segoe UI" w:cs="Segoe UI"/>
          <w:b/>
        </w:rPr>
        <w:t>6</w:t>
      </w:r>
      <w:r w:rsidRPr="00FF4E29">
        <w:rPr>
          <w:rFonts w:ascii="Segoe UI" w:hAnsi="Segoe UI" w:cs="Segoe UI"/>
          <w:b/>
        </w:rPr>
        <w:t xml:space="preserve"> ECCR projects</w:t>
      </w:r>
      <w:r w:rsidRPr="00FF4E29">
        <w:rPr>
          <w:rFonts w:ascii="Segoe UI" w:hAnsi="Segoe UI" w:cs="Segoe UI"/>
        </w:rPr>
        <w:t xml:space="preserve"> </w:t>
      </w:r>
      <w:r w:rsidRPr="00FF4E29">
        <w:rPr>
          <w:rFonts w:ascii="Segoe UI" w:hAnsi="Segoe UI" w:cs="Segoe UI"/>
        </w:rPr>
        <w:softHyphen/>
      </w:r>
    </w:p>
    <w:p w14:paraId="2513CE7C" w14:textId="469E6878" w:rsidR="00832AE7" w:rsidRDefault="00832AE7" w:rsidP="00832AE7">
      <w:pPr>
        <w:spacing w:after="0" w:line="240" w:lineRule="auto"/>
        <w:ind w:right="-288"/>
      </w:pPr>
    </w:p>
    <w:p w14:paraId="5577D371" w14:textId="751E5213" w:rsidR="004250FB" w:rsidRPr="00E803F2" w:rsidRDefault="00E803F2" w:rsidP="00E803F2">
      <w:pPr>
        <w:spacing w:after="0"/>
        <w:rPr>
          <w:b/>
          <w:sz w:val="20"/>
          <w:szCs w:val="20"/>
        </w:rPr>
      </w:pPr>
      <w:r w:rsidRPr="00E803F2">
        <w:rPr>
          <w:b/>
          <w:sz w:val="20"/>
          <w:szCs w:val="20"/>
        </w:rPr>
        <w:t>Abandoned Uranium Mines Clean Up (DOE)</w:t>
      </w:r>
    </w:p>
    <w:p w14:paraId="461A9ABC" w14:textId="065A68EC" w:rsidR="009D3F87" w:rsidRPr="004250FB" w:rsidRDefault="009D3F87" w:rsidP="00E803F2">
      <w:pPr>
        <w:spacing w:line="240" w:lineRule="auto"/>
        <w:rPr>
          <w:b/>
          <w:highlight w:val="magenta"/>
        </w:rPr>
      </w:pPr>
      <w:r w:rsidRPr="004250FB">
        <w:rPr>
          <w:i/>
          <w:sz w:val="20"/>
          <w:szCs w:val="20"/>
        </w:rPr>
        <w:t xml:space="preserve">DOE worked with EPA, the Department of the Interior, the Department of Justice, the Navajo Nation, and Freeport-McMoRan, utilizing a third-party mediator to reach a settlement </w:t>
      </w:r>
      <w:proofErr w:type="gramStart"/>
      <w:r w:rsidRPr="004250FB">
        <w:rPr>
          <w:i/>
          <w:sz w:val="20"/>
          <w:szCs w:val="20"/>
        </w:rPr>
        <w:t>in excess of</w:t>
      </w:r>
      <w:proofErr w:type="gramEnd"/>
      <w:r w:rsidRPr="004250FB">
        <w:rPr>
          <w:i/>
          <w:sz w:val="20"/>
          <w:szCs w:val="20"/>
        </w:rPr>
        <w:t xml:space="preserve"> $600 million.  Third-party mediation helped the parties schedule dates, work out regular meetings to discuss settlement, and most importantly, facilitate discussions to find common ground.  In reaching common ground, the United States and Freeport agreed to share the costs to clean up over 200 abandoned uranium mines.  The agencies will place $335 million into a trust while Freeport </w:t>
      </w:r>
      <w:proofErr w:type="spellStart"/>
      <w:r w:rsidRPr="004250FB">
        <w:rPr>
          <w:i/>
          <w:sz w:val="20"/>
          <w:szCs w:val="20"/>
        </w:rPr>
        <w:t>McMoRan</w:t>
      </w:r>
      <w:proofErr w:type="spellEnd"/>
      <w:r w:rsidRPr="004250FB">
        <w:rPr>
          <w:i/>
          <w:sz w:val="20"/>
          <w:szCs w:val="20"/>
        </w:rPr>
        <w:t xml:space="preserve"> provides the remaining funds.  Third-party mediation helped bridge the communication gap between the parties and helped avoid costly litigation while also achieving an outcome agreeable to all parties</w:t>
      </w:r>
      <w:r>
        <w:t>.</w:t>
      </w:r>
    </w:p>
    <w:tbl>
      <w:tblPr>
        <w:tblStyle w:val="TableGrid"/>
        <w:tblW w:w="965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58" w:type="dxa"/>
          <w:right w:w="115" w:type="dxa"/>
        </w:tblCellMar>
        <w:tblLook w:val="04A0" w:firstRow="1" w:lastRow="0" w:firstColumn="1" w:lastColumn="0" w:noHBand="0" w:noVBand="1"/>
      </w:tblPr>
      <w:tblGrid>
        <w:gridCol w:w="9656"/>
      </w:tblGrid>
      <w:tr w:rsidR="00832AE7" w:rsidRPr="00B476FC" w14:paraId="4FDC5F5A" w14:textId="77777777" w:rsidTr="00DD0762">
        <w:trPr>
          <w:trHeight w:val="2294"/>
        </w:trPr>
        <w:tc>
          <w:tcPr>
            <w:tcW w:w="9656" w:type="dxa"/>
            <w:tcBorders>
              <w:top w:val="single" w:sz="4" w:space="0" w:color="auto"/>
              <w:bottom w:val="single" w:sz="4" w:space="0" w:color="auto"/>
            </w:tcBorders>
          </w:tcPr>
          <w:p w14:paraId="3C696132" w14:textId="5FDF7E13" w:rsidR="00832AE7" w:rsidRPr="00E803F2" w:rsidRDefault="00E803F2" w:rsidP="00E803F2">
            <w:pPr>
              <w:rPr>
                <w:b/>
                <w:sz w:val="20"/>
                <w:szCs w:val="20"/>
              </w:rPr>
            </w:pPr>
            <w:r>
              <w:rPr>
                <w:b/>
                <w:sz w:val="20"/>
                <w:szCs w:val="20"/>
              </w:rPr>
              <w:t>Plains and Eastern Transmission Project Programmatic Agreement (DOE)</w:t>
            </w:r>
          </w:p>
          <w:p w14:paraId="6F6965F5" w14:textId="5CD0B142" w:rsidR="0089320D" w:rsidRPr="00E803F2" w:rsidRDefault="0089320D" w:rsidP="00E803F2">
            <w:pPr>
              <w:rPr>
                <w:i/>
                <w:sz w:val="20"/>
                <w:szCs w:val="20"/>
              </w:rPr>
            </w:pPr>
            <w:r w:rsidRPr="00E803F2">
              <w:rPr>
                <w:i/>
                <w:sz w:val="20"/>
                <w:szCs w:val="20"/>
              </w:rPr>
              <w:t>For the Plains and Eastern Transmission</w:t>
            </w:r>
            <w:r w:rsidR="00E60D05">
              <w:rPr>
                <w:i/>
                <w:sz w:val="20"/>
                <w:szCs w:val="20"/>
              </w:rPr>
              <w:t xml:space="preserve"> Project, the DOE Field Element</w:t>
            </w:r>
            <w:r w:rsidRPr="00E803F2">
              <w:rPr>
                <w:i/>
                <w:sz w:val="20"/>
                <w:szCs w:val="20"/>
              </w:rPr>
              <w:t xml:space="preserve"> based in Oklahoma, implemented public outreach and collaboration processes associated with the NEPA Environmental Impact Statement scoping processes.  For the drafting of the Section 106 Programmatic Agreement pursuant to the </w:t>
            </w:r>
            <w:r w:rsidRPr="00E803F2">
              <w:rPr>
                <w:rStyle w:val="Emphasis"/>
                <w:i w:val="0"/>
                <w:sz w:val="20"/>
                <w:szCs w:val="20"/>
              </w:rPr>
              <w:t>National Historic Preservation Act</w:t>
            </w:r>
            <w:r w:rsidRPr="00E803F2">
              <w:rPr>
                <w:i/>
                <w:sz w:val="20"/>
                <w:szCs w:val="20"/>
              </w:rPr>
              <w:t xml:space="preserve">, DOE utilized a collaborative outreach effort with all affected agencies and Native American governments in a series of face-to-face meetings and conference calls.  Personnel from the Advisory Council on Historic Preservation and the DOE Office of Tribal and Intergovernmental Affairs participated in stakeholder meetings to address </w:t>
            </w:r>
            <w:proofErr w:type="gramStart"/>
            <w:r w:rsidRPr="00E803F2">
              <w:rPr>
                <w:i/>
                <w:sz w:val="20"/>
                <w:szCs w:val="20"/>
              </w:rPr>
              <w:t>particular areas</w:t>
            </w:r>
            <w:proofErr w:type="gramEnd"/>
            <w:r w:rsidRPr="00E803F2">
              <w:rPr>
                <w:i/>
                <w:sz w:val="20"/>
                <w:szCs w:val="20"/>
              </w:rPr>
              <w:t xml:space="preserve"> of conflict during the collaborative drafting process of the Programmatic Agreement.  The parties used many ECCR techniques in developing the Programmatic Agreement</w:t>
            </w:r>
            <w:r w:rsidR="00E803F2">
              <w:rPr>
                <w:i/>
                <w:sz w:val="20"/>
                <w:szCs w:val="20"/>
              </w:rPr>
              <w:t>.</w:t>
            </w:r>
          </w:p>
        </w:tc>
      </w:tr>
      <w:tr w:rsidR="00832AE7" w:rsidRPr="00B476FC" w14:paraId="3950E3A6" w14:textId="77777777" w:rsidTr="009E4044">
        <w:trPr>
          <w:trHeight w:val="2015"/>
        </w:trPr>
        <w:tc>
          <w:tcPr>
            <w:tcW w:w="9656" w:type="dxa"/>
            <w:tcBorders>
              <w:top w:val="single" w:sz="4" w:space="0" w:color="auto"/>
              <w:bottom w:val="single" w:sz="4" w:space="0" w:color="auto"/>
            </w:tcBorders>
          </w:tcPr>
          <w:p w14:paraId="5442E24D" w14:textId="6C671761" w:rsidR="00832AE7" w:rsidRPr="00470706" w:rsidRDefault="00470706" w:rsidP="00470706">
            <w:pPr>
              <w:rPr>
                <w:b/>
                <w:sz w:val="20"/>
                <w:szCs w:val="20"/>
              </w:rPr>
            </w:pPr>
            <w:r>
              <w:rPr>
                <w:b/>
                <w:sz w:val="20"/>
                <w:szCs w:val="20"/>
              </w:rPr>
              <w:t>CERCLA Clean Up Cost Recovery Dispute (</w:t>
            </w:r>
            <w:r w:rsidR="003A7B4B" w:rsidRPr="00470706">
              <w:rPr>
                <w:b/>
                <w:sz w:val="20"/>
                <w:szCs w:val="20"/>
              </w:rPr>
              <w:t>Air Force</w:t>
            </w:r>
            <w:r>
              <w:rPr>
                <w:b/>
                <w:sz w:val="20"/>
                <w:szCs w:val="20"/>
              </w:rPr>
              <w:t>)</w:t>
            </w:r>
          </w:p>
          <w:p w14:paraId="24F07F50" w14:textId="3E80E935" w:rsidR="00470706" w:rsidRPr="00470706" w:rsidRDefault="0089320D" w:rsidP="00470706">
            <w:pPr>
              <w:rPr>
                <w:i/>
                <w:sz w:val="20"/>
                <w:szCs w:val="20"/>
              </w:rPr>
            </w:pPr>
            <w:r w:rsidRPr="00470706">
              <w:rPr>
                <w:i/>
                <w:sz w:val="20"/>
                <w:szCs w:val="20"/>
              </w:rPr>
              <w:t xml:space="preserve">CERCLA clean-up cost recovery dispute at a former California Air National Guard Station (Airport) was successfully settled with mediation. In 2005, the Regional Water Quality Control Board presented draft Clean Up and Abatement Orders to the Air Force (AF), Army Corps of Engineers, and four private companies for TCE found near the Airport. Later, two municipalities and a water utility district were brought into the dispute. The private parties conducted (with AF assistance) extensive groundwater studies showing that the TCE source was likely not the Airport. All the parties jointly selected and paid for the services of The Honorable Carl West from JAMS. The parties had great incentive to reach a settlement due to the limited window of opportunity to contribute funds to a scheduled intercept project for treating contaminated waters and protecting a significant aquifer to the South. Any separate remedy would have cost significantly more for similar benefits. AF settled for less than 10 % of the total cost of remediation and less than the costs and fees that would have been incurred if this case was litigated. </w:t>
            </w:r>
          </w:p>
        </w:tc>
      </w:tr>
      <w:tr w:rsidR="00832AE7" w:rsidRPr="00B476FC" w14:paraId="2DB731EF" w14:textId="77777777" w:rsidTr="00DD0762">
        <w:trPr>
          <w:trHeight w:val="6038"/>
        </w:trPr>
        <w:tc>
          <w:tcPr>
            <w:tcW w:w="9656" w:type="dxa"/>
            <w:tcBorders>
              <w:top w:val="single" w:sz="4" w:space="0" w:color="auto"/>
              <w:bottom w:val="single" w:sz="4" w:space="0" w:color="auto"/>
            </w:tcBorders>
          </w:tcPr>
          <w:p w14:paraId="27C268B3" w14:textId="1A769C9C" w:rsidR="00832AE7" w:rsidRPr="005505F0" w:rsidRDefault="00801D61" w:rsidP="005505F0">
            <w:pPr>
              <w:rPr>
                <w:b/>
                <w:sz w:val="20"/>
                <w:szCs w:val="20"/>
              </w:rPr>
            </w:pPr>
            <w:r>
              <w:rPr>
                <w:b/>
                <w:sz w:val="20"/>
                <w:szCs w:val="20"/>
              </w:rPr>
              <w:lastRenderedPageBreak/>
              <w:t>Mediated Dispute between Electric Utility Company and Landowner (</w:t>
            </w:r>
            <w:r w:rsidR="00192D45" w:rsidRPr="005505F0">
              <w:rPr>
                <w:b/>
                <w:sz w:val="20"/>
                <w:szCs w:val="20"/>
              </w:rPr>
              <w:t>FERC</w:t>
            </w:r>
            <w:r>
              <w:rPr>
                <w:b/>
                <w:sz w:val="20"/>
                <w:szCs w:val="20"/>
              </w:rPr>
              <w:t>)</w:t>
            </w:r>
          </w:p>
          <w:p w14:paraId="174680A2" w14:textId="77777777" w:rsidR="00192D45" w:rsidRPr="005505F0" w:rsidRDefault="00192D45" w:rsidP="005505F0">
            <w:pPr>
              <w:rPr>
                <w:rFonts w:cs="Arial"/>
                <w:i/>
                <w:sz w:val="20"/>
                <w:szCs w:val="20"/>
              </w:rPr>
            </w:pPr>
            <w:r w:rsidRPr="005505F0">
              <w:rPr>
                <w:rFonts w:cs="Arial"/>
                <w:i/>
                <w:sz w:val="20"/>
                <w:szCs w:val="20"/>
              </w:rPr>
              <w:t xml:space="preserve">Non-decisional staff from the DRS mediated a dispute between an electric utility company and a landowner with transmission lines on his property.  The parties reached an uncontested settlement regarding the company’s vegetation management policy and the landowner’s ability to grow vegetation near the transmission lines.  Issues arose when, after a change in ownership, the utility company implemented a more robust vegetation management policy that resulted in the removal of trees and other vegetation that had been in place since the transmission lines were originally built many years ago.  During removal, the landowner and the contractor communicated poorly and the conflict escalated quickly.  The landowner did not understand the new vegetation management policy and was unable to get an explanation from the contractor or the company.  Furthermore, after the vegetation was removed the contractor threatened the landowner that it would come back and remove the rest of the trees on his property during the next trimming cycle.  The landowner requested DRS assistance in clarifying which trees were at risk of removal during the next trimming cycle, reimbursement for work that was needed on his property to repair damage done by the contractor, and an explanation of what types of vegetation could be grown near the transmission lines without running afoul of the vegetation management policy. </w:t>
            </w:r>
          </w:p>
          <w:p w14:paraId="6CD51E81" w14:textId="536FE84D" w:rsidR="00192D45" w:rsidRPr="005505F0" w:rsidRDefault="00192D45" w:rsidP="005505F0">
            <w:pPr>
              <w:rPr>
                <w:rFonts w:cs="Arial"/>
                <w:i/>
                <w:sz w:val="20"/>
                <w:szCs w:val="20"/>
              </w:rPr>
            </w:pPr>
          </w:p>
          <w:p w14:paraId="2B92BB04" w14:textId="77777777" w:rsidR="00192D45" w:rsidRPr="005505F0" w:rsidRDefault="00192D45" w:rsidP="005505F0">
            <w:pPr>
              <w:rPr>
                <w:rFonts w:cs="Arial"/>
                <w:i/>
                <w:sz w:val="20"/>
                <w:szCs w:val="20"/>
              </w:rPr>
            </w:pPr>
            <w:r w:rsidRPr="005505F0">
              <w:rPr>
                <w:rFonts w:cs="Arial"/>
                <w:i/>
                <w:sz w:val="20"/>
                <w:szCs w:val="20"/>
              </w:rPr>
              <w:t xml:space="preserve">DRS staff hosted regular conference calls to keep the parties engaged in a dialogue.  DRS staff also engaged in regular caucus sessions with parties to explore each party’s interests and generate options through brainstorming sessions.  In the joint sessions DRS staff emphasized areas of agreement reached in previous meetings and facilitated option generation and evaluation for areas still in dispute. Proper management of the mediation process by the mediators and the committed work of the parties resulted in a complete resolution of all issues in this dispute.  </w:t>
            </w:r>
          </w:p>
          <w:p w14:paraId="683754A5" w14:textId="6099C153" w:rsidR="002A70CD" w:rsidRPr="005505F0" w:rsidRDefault="00192D45" w:rsidP="005505F0">
            <w:pPr>
              <w:rPr>
                <w:rFonts w:cs="Arial"/>
                <w:i/>
                <w:sz w:val="20"/>
                <w:szCs w:val="20"/>
              </w:rPr>
            </w:pPr>
            <w:r w:rsidRPr="005505F0">
              <w:rPr>
                <w:rFonts w:cs="Arial"/>
                <w:i/>
                <w:sz w:val="20"/>
                <w:szCs w:val="20"/>
              </w:rPr>
              <w:t xml:space="preserve">The parties reached a mutually beneficial agreement that provided a permanent solution to the problems raised by this vegetation management policy.  The landowner was reimbursed for expenses incurred repairing damage caused by the contractor and </w:t>
            </w:r>
            <w:proofErr w:type="gramStart"/>
            <w:r w:rsidRPr="005505F0">
              <w:rPr>
                <w:rFonts w:cs="Arial"/>
                <w:i/>
                <w:sz w:val="20"/>
                <w:szCs w:val="20"/>
              </w:rPr>
              <w:t>was able to</w:t>
            </w:r>
            <w:proofErr w:type="gramEnd"/>
            <w:r w:rsidRPr="005505F0">
              <w:rPr>
                <w:rFonts w:cs="Arial"/>
                <w:i/>
                <w:sz w:val="20"/>
                <w:szCs w:val="20"/>
              </w:rPr>
              <w:t xml:space="preserve"> regrow vegetation with assurances that it was compliant with the vegetation management plan. Without ECCR, the parties would have likely engaged in litigation.</w:t>
            </w:r>
          </w:p>
        </w:tc>
      </w:tr>
      <w:tr w:rsidR="00832AE7" w:rsidRPr="00B476FC" w14:paraId="3E364946" w14:textId="77777777" w:rsidTr="003615EF">
        <w:trPr>
          <w:trHeight w:val="618"/>
        </w:trPr>
        <w:tc>
          <w:tcPr>
            <w:tcW w:w="9656" w:type="dxa"/>
            <w:tcBorders>
              <w:top w:val="single" w:sz="4" w:space="0" w:color="auto"/>
            </w:tcBorders>
          </w:tcPr>
          <w:p w14:paraId="6BC31D39" w14:textId="4A9C9DF7" w:rsidR="00AF45D5" w:rsidRPr="00AF45D5" w:rsidRDefault="006E12EB" w:rsidP="00AF45D5">
            <w:pPr>
              <w:rPr>
                <w:b/>
                <w:bCs/>
                <w:sz w:val="20"/>
                <w:szCs w:val="20"/>
              </w:rPr>
            </w:pPr>
            <w:r>
              <w:rPr>
                <w:b/>
                <w:bCs/>
                <w:sz w:val="20"/>
                <w:szCs w:val="20"/>
              </w:rPr>
              <w:t>B</w:t>
            </w:r>
            <w:r w:rsidR="00FF7E68">
              <w:rPr>
                <w:b/>
                <w:bCs/>
                <w:sz w:val="20"/>
                <w:szCs w:val="20"/>
              </w:rPr>
              <w:t>ureau of Reclamation</w:t>
            </w:r>
            <w:r w:rsidR="00B1388F" w:rsidRPr="00AF45D5">
              <w:rPr>
                <w:b/>
                <w:bCs/>
                <w:sz w:val="20"/>
                <w:szCs w:val="20"/>
              </w:rPr>
              <w:t xml:space="preserve"> Glen Canyon Dam Ada</w:t>
            </w:r>
            <w:r w:rsidR="00AF45D5" w:rsidRPr="00AF45D5">
              <w:rPr>
                <w:b/>
                <w:bCs/>
                <w:sz w:val="20"/>
                <w:szCs w:val="20"/>
              </w:rPr>
              <w:t>ptive Management Program (DOI)</w:t>
            </w:r>
          </w:p>
          <w:p w14:paraId="7B6843C0" w14:textId="77777777" w:rsidR="00832AE7" w:rsidRDefault="00B1388F" w:rsidP="00AF45D5">
            <w:pPr>
              <w:rPr>
                <w:sz w:val="20"/>
                <w:szCs w:val="20"/>
              </w:rPr>
            </w:pPr>
            <w:r w:rsidRPr="00AF45D5">
              <w:rPr>
                <w:i/>
                <w:sz w:val="20"/>
                <w:szCs w:val="20"/>
              </w:rPr>
              <w:t xml:space="preserve">In this facilitated process, long term operational recommendations are being developed by consensus </w:t>
            </w:r>
            <w:r w:rsidR="00FF7E68">
              <w:rPr>
                <w:i/>
                <w:sz w:val="20"/>
                <w:szCs w:val="20"/>
              </w:rPr>
              <w:t>among</w:t>
            </w:r>
            <w:r w:rsidR="00FF7E68" w:rsidRPr="00AF45D5">
              <w:rPr>
                <w:i/>
                <w:sz w:val="20"/>
                <w:szCs w:val="20"/>
              </w:rPr>
              <w:t xml:space="preserve"> </w:t>
            </w:r>
            <w:r w:rsidRPr="00AF45D5">
              <w:rPr>
                <w:i/>
                <w:sz w:val="20"/>
                <w:szCs w:val="20"/>
              </w:rPr>
              <w:t>a diverse set of stakeholders of the Colorado River including power customers, conservationists, recreational interests, States</w:t>
            </w:r>
            <w:r w:rsidR="00FF7E68">
              <w:rPr>
                <w:i/>
                <w:sz w:val="20"/>
                <w:szCs w:val="20"/>
              </w:rPr>
              <w:t>, Tribes,</w:t>
            </w:r>
            <w:r w:rsidRPr="00AF45D5">
              <w:rPr>
                <w:i/>
                <w:sz w:val="20"/>
                <w:szCs w:val="20"/>
              </w:rPr>
              <w:t xml:space="preserve"> and water customers (such as farmers and cities). The operating recommendations developed by the AMP are most often accepted and implemented by the Secretary of the Interior as Water Master for the Colorado River. This Program, with its facilitated and collaborative process, has become the standard operating procedure for operation and management of the Colorado River. This basin, while not immune from conflict, has seen a dramatic decline in litigation in recent years. What is significant about that is that the Colorado River Basin has been experiencing such severe drought over the past five years -- making it ripe for litigation and intense conflict. Because of this process, that conflict is managed and has not become toxic.</w:t>
            </w:r>
            <w:r w:rsidRPr="00AF45D5">
              <w:rPr>
                <w:sz w:val="20"/>
                <w:szCs w:val="20"/>
              </w:rPr>
              <w:t xml:space="preserve"> </w:t>
            </w:r>
          </w:p>
          <w:p w14:paraId="635B3CBF" w14:textId="3B1A4F7D" w:rsidR="00DD0762" w:rsidRPr="00DD0762" w:rsidRDefault="00DD0762" w:rsidP="00AF45D5">
            <w:pPr>
              <w:rPr>
                <w:i/>
                <w:sz w:val="16"/>
                <w:szCs w:val="16"/>
              </w:rPr>
            </w:pPr>
          </w:p>
        </w:tc>
      </w:tr>
      <w:tr w:rsidR="00832AE7" w:rsidRPr="00B476FC" w14:paraId="7CE4531E" w14:textId="77777777" w:rsidTr="00DD0762">
        <w:trPr>
          <w:trHeight w:val="1178"/>
        </w:trPr>
        <w:tc>
          <w:tcPr>
            <w:tcW w:w="9656" w:type="dxa"/>
            <w:tcBorders>
              <w:top w:val="single" w:sz="4" w:space="0" w:color="auto"/>
              <w:bottom w:val="single" w:sz="4" w:space="0" w:color="auto"/>
            </w:tcBorders>
          </w:tcPr>
          <w:p w14:paraId="24F70064" w14:textId="7BD290B9" w:rsidR="00081B8D" w:rsidRPr="00081B8D" w:rsidRDefault="00081B8D" w:rsidP="00081B8D">
            <w:pPr>
              <w:rPr>
                <w:b/>
                <w:sz w:val="20"/>
                <w:szCs w:val="20"/>
              </w:rPr>
            </w:pPr>
            <w:proofErr w:type="spellStart"/>
            <w:r w:rsidRPr="00081B8D">
              <w:rPr>
                <w:b/>
                <w:sz w:val="20"/>
                <w:szCs w:val="20"/>
              </w:rPr>
              <w:t>Kettleman</w:t>
            </w:r>
            <w:proofErr w:type="spellEnd"/>
            <w:r w:rsidRPr="00081B8D">
              <w:rPr>
                <w:b/>
                <w:sz w:val="20"/>
                <w:szCs w:val="20"/>
              </w:rPr>
              <w:t xml:space="preserve"> Hills Title VI Settlement (EPA)</w:t>
            </w:r>
          </w:p>
          <w:p w14:paraId="32D6BEF1" w14:textId="0D2F1FFE" w:rsidR="00081B8D" w:rsidRDefault="00081B8D" w:rsidP="00081B8D">
            <w:pPr>
              <w:rPr>
                <w:i/>
                <w:sz w:val="20"/>
                <w:szCs w:val="20"/>
              </w:rPr>
            </w:pPr>
            <w:r w:rsidRPr="00081B8D">
              <w:rPr>
                <w:i/>
                <w:sz w:val="20"/>
                <w:szCs w:val="20"/>
              </w:rPr>
              <w:t xml:space="preserve">El Pueblo Para el Aire y Agua </w:t>
            </w:r>
            <w:proofErr w:type="spellStart"/>
            <w:r w:rsidRPr="00081B8D">
              <w:rPr>
                <w:i/>
                <w:sz w:val="20"/>
                <w:szCs w:val="20"/>
              </w:rPr>
              <w:t>Limpia</w:t>
            </w:r>
            <w:proofErr w:type="spellEnd"/>
            <w:r w:rsidRPr="00081B8D">
              <w:rPr>
                <w:i/>
                <w:sz w:val="20"/>
                <w:szCs w:val="20"/>
              </w:rPr>
              <w:t xml:space="preserve"> (El Pueblo), a grassroots community group in </w:t>
            </w:r>
            <w:proofErr w:type="spellStart"/>
            <w:r w:rsidRPr="00081B8D">
              <w:rPr>
                <w:i/>
                <w:sz w:val="20"/>
                <w:szCs w:val="20"/>
              </w:rPr>
              <w:t>Kettleman</w:t>
            </w:r>
            <w:proofErr w:type="spellEnd"/>
            <w:r w:rsidRPr="00081B8D">
              <w:rPr>
                <w:i/>
                <w:sz w:val="20"/>
                <w:szCs w:val="20"/>
              </w:rPr>
              <w:t xml:space="preserve"> City, CA, and the non-profit organization </w:t>
            </w:r>
            <w:proofErr w:type="spellStart"/>
            <w:r w:rsidRPr="00081B8D">
              <w:rPr>
                <w:i/>
                <w:sz w:val="20"/>
                <w:szCs w:val="20"/>
              </w:rPr>
              <w:t>Greenaction</w:t>
            </w:r>
            <w:proofErr w:type="spellEnd"/>
            <w:r w:rsidRPr="00081B8D">
              <w:rPr>
                <w:i/>
                <w:sz w:val="20"/>
                <w:szCs w:val="20"/>
              </w:rPr>
              <w:t xml:space="preserve"> for Health and Environmental Justice (</w:t>
            </w:r>
            <w:proofErr w:type="spellStart"/>
            <w:r w:rsidRPr="00081B8D">
              <w:rPr>
                <w:i/>
                <w:sz w:val="20"/>
                <w:szCs w:val="20"/>
              </w:rPr>
              <w:t>Greenaction</w:t>
            </w:r>
            <w:proofErr w:type="spellEnd"/>
            <w:r w:rsidRPr="00081B8D">
              <w:rPr>
                <w:i/>
                <w:sz w:val="20"/>
                <w:szCs w:val="20"/>
              </w:rPr>
              <w:t>)</w:t>
            </w:r>
            <w:r>
              <w:rPr>
                <w:i/>
                <w:sz w:val="20"/>
                <w:szCs w:val="20"/>
              </w:rPr>
              <w:t>,</w:t>
            </w:r>
            <w:r w:rsidRPr="00081B8D">
              <w:rPr>
                <w:i/>
                <w:sz w:val="20"/>
                <w:szCs w:val="20"/>
              </w:rPr>
              <w:t xml:space="preserve"> filed a Title VI Complaint with the Office of Civil Rights (OCR) at the United States Environmental Project Agency (US EPA) against the California Environmental Protection Agency (CalEPA) and the California Department of Toxic Substances Control (DTSC) on March 19, 2015. The complaint alleged that DTSC and CalEPA violated Title VI of the Civil Rights Act of 1964 (Title VI) when it approved the </w:t>
            </w:r>
            <w:proofErr w:type="spellStart"/>
            <w:r w:rsidRPr="00081B8D">
              <w:rPr>
                <w:i/>
                <w:sz w:val="20"/>
                <w:szCs w:val="20"/>
              </w:rPr>
              <w:t>Kettleman</w:t>
            </w:r>
            <w:proofErr w:type="spellEnd"/>
            <w:r w:rsidRPr="00081B8D">
              <w:rPr>
                <w:i/>
                <w:sz w:val="20"/>
                <w:szCs w:val="20"/>
              </w:rPr>
              <w:t xml:space="preserve"> Hills Facility permit to expand the B-18 landfill. OCR, working with EPA’s Conflict Prevention and Resolution Center (CPRC), offered the parties the opportunity to resolve this complaint through Alternative Dispute Resolution (ADR). Both the complainants (El Pueblo and </w:t>
            </w:r>
            <w:proofErr w:type="spellStart"/>
            <w:r w:rsidRPr="00081B8D">
              <w:rPr>
                <w:i/>
                <w:sz w:val="20"/>
                <w:szCs w:val="20"/>
              </w:rPr>
              <w:t>Greenaction</w:t>
            </w:r>
            <w:proofErr w:type="spellEnd"/>
            <w:r w:rsidRPr="00081B8D">
              <w:rPr>
                <w:i/>
                <w:sz w:val="20"/>
                <w:szCs w:val="20"/>
              </w:rPr>
              <w:t>) and the recipients (CalEPA and DTSC) agreed to attempt to resolve the dispute through mediation.</w:t>
            </w:r>
          </w:p>
          <w:p w14:paraId="63EB02DA" w14:textId="77777777" w:rsidR="00BD64B7" w:rsidRPr="00081B8D" w:rsidRDefault="00BD64B7" w:rsidP="00081B8D">
            <w:pPr>
              <w:rPr>
                <w:i/>
                <w:sz w:val="20"/>
                <w:szCs w:val="20"/>
              </w:rPr>
            </w:pPr>
          </w:p>
          <w:p w14:paraId="5D6EC0B9" w14:textId="5CD600E0" w:rsidR="00C15E1D" w:rsidRPr="006F6452" w:rsidRDefault="00081B8D" w:rsidP="00C15E1D">
            <w:pPr>
              <w:rPr>
                <w:i/>
                <w:sz w:val="20"/>
                <w:szCs w:val="20"/>
              </w:rPr>
            </w:pPr>
            <w:r w:rsidRPr="00081B8D">
              <w:rPr>
                <w:i/>
                <w:sz w:val="20"/>
                <w:szCs w:val="20"/>
              </w:rPr>
              <w:t xml:space="preserve">The mediator structured the first joint session as a nonjudgmental information-sharing opportunity so that parties could understand the Zone of Potential Agreement (ZOPA), which in this case was partly defined by California laws that govern the operations of the state agencies involved in the mediation. All information sharing and discussions were oriented around whether the parties could find common ground that would resolve the complaint. The parties took ownership of crafting the agreement by each taking turns with a draft agreement, a twist on the mediator-driven single text procedure. The draft development took place between live joint sessions, and allowed the live </w:t>
            </w:r>
            <w:r w:rsidRPr="00081B8D">
              <w:rPr>
                <w:i/>
                <w:sz w:val="20"/>
                <w:szCs w:val="20"/>
              </w:rPr>
              <w:lastRenderedPageBreak/>
              <w:t xml:space="preserve">sessions to focus on relationship building, defining the ZOPA, and creative problem solving. The historic settlement agreement was signed in August 2016, and not only incorporated civil rights consideration, but also included meaningful public participation in the </w:t>
            </w:r>
            <w:r w:rsidR="006F6452" w:rsidRPr="00081B8D">
              <w:rPr>
                <w:i/>
                <w:sz w:val="20"/>
                <w:szCs w:val="20"/>
              </w:rPr>
              <w:t>decision-making</w:t>
            </w:r>
            <w:r w:rsidRPr="00081B8D">
              <w:rPr>
                <w:i/>
                <w:sz w:val="20"/>
                <w:szCs w:val="20"/>
              </w:rPr>
              <w:t xml:space="preserve"> process for state hazardous waste permitting. This is the second EPA Title VI c</w:t>
            </w:r>
            <w:r w:rsidR="006F6452">
              <w:rPr>
                <w:i/>
                <w:sz w:val="20"/>
                <w:szCs w:val="20"/>
              </w:rPr>
              <w:t xml:space="preserve">ase to be resolved using ADR.  </w:t>
            </w:r>
          </w:p>
        </w:tc>
      </w:tr>
      <w:tr w:rsidR="00734E31" w:rsidRPr="00B476FC" w14:paraId="3A0A2C1C" w14:textId="77777777" w:rsidTr="009E4044">
        <w:trPr>
          <w:trHeight w:val="1385"/>
        </w:trPr>
        <w:tc>
          <w:tcPr>
            <w:tcW w:w="9656" w:type="dxa"/>
            <w:tcBorders>
              <w:top w:val="single" w:sz="4" w:space="0" w:color="auto"/>
              <w:bottom w:val="single" w:sz="4" w:space="0" w:color="auto"/>
            </w:tcBorders>
          </w:tcPr>
          <w:p w14:paraId="7D1419FB" w14:textId="5FB2EE3D" w:rsidR="00734E31" w:rsidRPr="00C74CF6" w:rsidRDefault="00F24B3C" w:rsidP="006E12EB">
            <w:pPr>
              <w:rPr>
                <w:b/>
                <w:sz w:val="20"/>
                <w:szCs w:val="20"/>
              </w:rPr>
            </w:pPr>
            <w:r>
              <w:rPr>
                <w:b/>
                <w:sz w:val="20"/>
                <w:szCs w:val="20"/>
              </w:rPr>
              <w:lastRenderedPageBreak/>
              <w:t>Everglades Restoration Transition Plan Endangered Species Act (</w:t>
            </w:r>
            <w:r w:rsidR="003B3940" w:rsidRPr="00C74CF6">
              <w:rPr>
                <w:b/>
                <w:sz w:val="20"/>
                <w:szCs w:val="20"/>
              </w:rPr>
              <w:t>USACE/USIECR</w:t>
            </w:r>
            <w:r>
              <w:rPr>
                <w:b/>
                <w:sz w:val="20"/>
                <w:szCs w:val="20"/>
              </w:rPr>
              <w:t>)</w:t>
            </w:r>
          </w:p>
          <w:p w14:paraId="5FDCF0AE" w14:textId="3AE904CA" w:rsidR="00734E31" w:rsidRPr="006E12EB" w:rsidRDefault="003B3940" w:rsidP="006E12EB">
            <w:r w:rsidRPr="006E12EB">
              <w:rPr>
                <w:rFonts w:cs="Arial"/>
                <w:i/>
                <w:sz w:val="20"/>
                <w:szCs w:val="20"/>
              </w:rPr>
              <w:t>Jacksonville District contracted with USIECR to assist with facilitation of the Everglades Restoration Transition Plan (ERTP) Endangered Species Act consultation that resulted in a Jeopardy Biological Opinion for the endangered Cape Sable seaside sparrow.  Jacksonville District and the USFWS Vero Beach Ecological Services Office jointly funded USIECR for facilitation, mediation and negotiation support services between February and July 2016. Jacksonville District realized that third party assistance was needed for ERTP after over 12 months of unsuccessful negotiations with USFWS to develop technically feasible alternatives to protect the endangered Cape Sable seaside sparrow.  This case is completed and involved Federal agencies.</w:t>
            </w:r>
          </w:p>
        </w:tc>
      </w:tr>
    </w:tbl>
    <w:p w14:paraId="2BEC9A24" w14:textId="767DC1F8" w:rsidR="006C4534" w:rsidRPr="00347CAD" w:rsidRDefault="0005479D" w:rsidP="002456E9">
      <w:pPr>
        <w:pStyle w:val="Heading1"/>
        <w:rPr>
          <w:color w:val="auto"/>
        </w:rPr>
      </w:pPr>
      <w:r w:rsidRPr="00347CAD">
        <w:rPr>
          <w:color w:val="auto"/>
        </w:rPr>
        <w:t>Analyzing</w:t>
      </w:r>
      <w:r w:rsidR="006A28ED" w:rsidRPr="00347CAD">
        <w:rPr>
          <w:color w:val="auto"/>
        </w:rPr>
        <w:t xml:space="preserve"> </w:t>
      </w:r>
      <w:r w:rsidR="00FE308A" w:rsidRPr="00347CAD">
        <w:rPr>
          <w:color w:val="auto"/>
        </w:rPr>
        <w:t xml:space="preserve">ECCR </w:t>
      </w:r>
      <w:r w:rsidR="00DF7936" w:rsidRPr="00347CAD">
        <w:rPr>
          <w:color w:val="auto"/>
        </w:rPr>
        <w:t xml:space="preserve">Costs and </w:t>
      </w:r>
      <w:r w:rsidR="00FE308A" w:rsidRPr="00347CAD">
        <w:rPr>
          <w:color w:val="auto"/>
        </w:rPr>
        <w:t>Benefits</w:t>
      </w:r>
    </w:p>
    <w:p w14:paraId="28EB23CA" w14:textId="28A64C84" w:rsidR="0093558C" w:rsidRPr="00DF2D58" w:rsidRDefault="00A253EA" w:rsidP="00DF2D58">
      <w:pPr>
        <w:rPr>
          <w:rFonts w:ascii="Segoe UI" w:hAnsi="Segoe UI" w:cs="Segoe UI"/>
          <w:b/>
        </w:rPr>
      </w:pPr>
      <w:r>
        <w:t>The departments and agencies that tend to make greater use of ECCR (EPA, D</w:t>
      </w:r>
      <w:r w:rsidR="002A1CC7">
        <w:t>o</w:t>
      </w:r>
      <w:r>
        <w:t>D, DOI, and FERC) r</w:t>
      </w:r>
      <w:r w:rsidR="0093558C">
        <w:t>eported having more formal and quantifiable methods to track their investments in ECCR processes</w:t>
      </w:r>
      <w:r w:rsidR="00F337E7">
        <w:t xml:space="preserve"> in FY 2016</w:t>
      </w:r>
      <w:r w:rsidR="003643E3">
        <w:t xml:space="preserve"> as compared to previous years</w:t>
      </w:r>
      <w:r w:rsidR="0093558C">
        <w:t xml:space="preserve">. </w:t>
      </w:r>
      <w:r w:rsidR="00DF2D58">
        <w:t>Other agencies have fully integrated ECCR into their budgeting so costs are not separated (Air Force). Air Force stated that “The real savings from ECCR is the ability to accomplish mission without dispute</w:t>
      </w:r>
      <w:r w:rsidR="00E371C5">
        <w:t>s causing</w:t>
      </w:r>
      <w:r w:rsidR="00DF2D58">
        <w:t xml:space="preserve"> interrupt</w:t>
      </w:r>
      <w:r w:rsidR="00EA40E2">
        <w:t>ion.” Therefore, ADR and ECCR are considered</w:t>
      </w:r>
      <w:r w:rsidR="00DF2D58">
        <w:t xml:space="preserve"> “budget neutral.”</w:t>
      </w:r>
      <w:r w:rsidR="00DF2D58">
        <w:rPr>
          <w:rFonts w:ascii="Segoe UI" w:hAnsi="Segoe UI" w:cs="Segoe UI"/>
          <w:b/>
        </w:rPr>
        <w:t xml:space="preserve"> </w:t>
      </w:r>
      <w:r w:rsidR="0093558C">
        <w:t xml:space="preserve">Those </w:t>
      </w:r>
      <w:r w:rsidR="001D3B50">
        <w:t>with fewer ECCR cases tended to report on the costs and benefits through more qualitative methods, such as case studies.</w:t>
      </w:r>
    </w:p>
    <w:p w14:paraId="64B9FB46" w14:textId="50FF5F3B" w:rsidR="00FF0ACA" w:rsidRPr="000705F6" w:rsidRDefault="0093558C" w:rsidP="000705F6">
      <w:r>
        <w:t xml:space="preserve">While most respondents pointed to the difficulties in quantifying the benefits of ECCR processes, some agencies </w:t>
      </w:r>
      <w:r w:rsidR="00FF7E68">
        <w:t>have worked</w:t>
      </w:r>
      <w:r w:rsidR="008C3A85">
        <w:t xml:space="preserve"> together to </w:t>
      </w:r>
      <w:r>
        <w:t>develop an evaluation instrument to measure the impacts of ECCR cases</w:t>
      </w:r>
      <w:r w:rsidR="00FF7E68">
        <w:t>, building on EPA’s and DOI’s experience</w:t>
      </w:r>
      <w:r w:rsidR="00BD5185">
        <w:t>s</w:t>
      </w:r>
      <w:r>
        <w:t xml:space="preserve"> </w:t>
      </w:r>
      <w:r w:rsidR="00FF7E68">
        <w:t>collecting</w:t>
      </w:r>
      <w:r>
        <w:t xml:space="preserve"> data o</w:t>
      </w:r>
      <w:r w:rsidR="00EA40E2">
        <w:t>n investments i</w:t>
      </w:r>
      <w:r>
        <w:t>n ECCR cases and comparisons to likely alternative scenarios, which has allowed the</w:t>
      </w:r>
      <w:r w:rsidR="00FF7E68">
        <w:t>se agencies</w:t>
      </w:r>
      <w:r>
        <w:t xml:space="preserve"> to generate quantitative benefits information. </w:t>
      </w:r>
      <w:r w:rsidR="00FF0ACA" w:rsidRPr="00FF0ACA">
        <w:t xml:space="preserve">In FY 2016, the EPA obtained OMB approval on a fifth generation of evaluation instruments developed collaboratively with the DOI and the USACE. </w:t>
      </w:r>
    </w:p>
    <w:p w14:paraId="4DE99D59" w14:textId="7763F07E" w:rsidR="00FF0ACA" w:rsidRPr="00FF0ACA" w:rsidRDefault="00FF0ACA" w:rsidP="00FF0ACA">
      <w:pPr>
        <w:spacing w:after="0" w:line="240" w:lineRule="auto"/>
        <w:rPr>
          <w:rFonts w:cs="Times New Roman"/>
          <w:color w:val="000000"/>
        </w:rPr>
      </w:pPr>
      <w:r w:rsidRPr="00FF0ACA">
        <w:rPr>
          <w:rFonts w:cs="Times New Roman"/>
          <w:color w:val="000000"/>
        </w:rPr>
        <w:t xml:space="preserve">As part of the effort to gather data for the ECCR annual report, </w:t>
      </w:r>
      <w:r w:rsidR="000705F6">
        <w:rPr>
          <w:rFonts w:cs="Times New Roman"/>
          <w:color w:val="000000"/>
        </w:rPr>
        <w:t xml:space="preserve">EPA </w:t>
      </w:r>
      <w:r w:rsidRPr="00FF0ACA">
        <w:rPr>
          <w:rFonts w:cs="Times New Roman"/>
          <w:color w:val="000000"/>
        </w:rPr>
        <w:t xml:space="preserve">included a question in a qualitative survey to EPA offices and regions concerning their views of the benefits associated with ECCR cases that occurred in FY 2016. To minimize the burden on the responding offices and regions, the </w:t>
      </w:r>
      <w:r w:rsidR="00373A47">
        <w:rPr>
          <w:rFonts w:cs="Times New Roman"/>
          <w:color w:val="000000"/>
        </w:rPr>
        <w:t>survey</w:t>
      </w:r>
      <w:r w:rsidR="00373A47" w:rsidRPr="00FF0ACA">
        <w:rPr>
          <w:rFonts w:cs="Times New Roman"/>
          <w:color w:val="000000"/>
        </w:rPr>
        <w:t xml:space="preserve"> </w:t>
      </w:r>
      <w:r w:rsidRPr="00FF0ACA">
        <w:rPr>
          <w:rFonts w:cs="Times New Roman"/>
          <w:color w:val="000000"/>
        </w:rPr>
        <w:t xml:space="preserve">asked about collective benefits of the ECCR cases, rather than individual case benefits. </w:t>
      </w:r>
    </w:p>
    <w:p w14:paraId="2FA47726" w14:textId="65B002C8" w:rsidR="00F337E7" w:rsidRPr="00FF0ACA" w:rsidRDefault="00F337E7" w:rsidP="00FF0ACA">
      <w:pPr>
        <w:spacing w:after="0" w:line="240" w:lineRule="auto"/>
        <w:rPr>
          <w:color w:val="000000"/>
        </w:rPr>
      </w:pPr>
    </w:p>
    <w:p w14:paraId="1134F5F2" w14:textId="78608E38" w:rsidR="007538F0" w:rsidRDefault="000705F6" w:rsidP="000705F6">
      <w:pPr>
        <w:spacing w:after="0" w:line="240" w:lineRule="auto"/>
        <w:rPr>
          <w:rFonts w:cs="Arial"/>
        </w:rPr>
      </w:pPr>
      <w:r>
        <w:rPr>
          <w:rFonts w:cs="Arial"/>
        </w:rPr>
        <w:t xml:space="preserve">To preemptively support the annual ECCR data call, </w:t>
      </w:r>
      <w:r w:rsidR="00D05CAE">
        <w:rPr>
          <w:rFonts w:cs="Arial"/>
        </w:rPr>
        <w:t xml:space="preserve">USACE </w:t>
      </w:r>
      <w:r w:rsidR="00D05CAE" w:rsidRPr="00FF0ACA">
        <w:rPr>
          <w:rFonts w:cs="Arial"/>
        </w:rPr>
        <w:t>increased</w:t>
      </w:r>
      <w:r w:rsidR="00FF0ACA" w:rsidRPr="00FF0ACA">
        <w:rPr>
          <w:rFonts w:cs="Arial"/>
        </w:rPr>
        <w:t xml:space="preserve"> its focus on tracking activities of the center’s staff and field partners to better capture ECCR activities in USACE. USACE also submitted revised ECCR-related evaluation surveys to OMB for approval.</w:t>
      </w:r>
    </w:p>
    <w:p w14:paraId="10E5401C" w14:textId="77777777" w:rsidR="000705F6" w:rsidRPr="000705F6" w:rsidRDefault="000705F6" w:rsidP="000705F6">
      <w:pPr>
        <w:spacing w:after="0" w:line="240" w:lineRule="auto"/>
        <w:rPr>
          <w:rFonts w:cs="Arial"/>
        </w:rPr>
      </w:pPr>
    </w:p>
    <w:p w14:paraId="446A68DD" w14:textId="367DBFD4" w:rsidR="00F1362F" w:rsidRPr="00DF2D58" w:rsidRDefault="0093558C" w:rsidP="00DF2D58">
      <w:pPr>
        <w:rPr>
          <w:rFonts w:ascii="Segoe UI" w:hAnsi="Segoe UI" w:cs="Segoe UI"/>
          <w:b/>
        </w:rPr>
      </w:pPr>
      <w:r>
        <w:t xml:space="preserve">Other </w:t>
      </w:r>
      <w:r w:rsidR="00EE4CD4">
        <w:t xml:space="preserve">specific </w:t>
      </w:r>
      <w:r w:rsidR="00F91ED7">
        <w:t xml:space="preserve">examples </w:t>
      </w:r>
      <w:r w:rsidR="00EE4CD4">
        <w:t xml:space="preserve">of department and agency efforts </w:t>
      </w:r>
      <w:r w:rsidR="00FD110B">
        <w:t xml:space="preserve">to formally track ECCR costs and benefits </w:t>
      </w:r>
      <w:r w:rsidR="00EE4CD4">
        <w:t>include</w:t>
      </w:r>
      <w:r w:rsidR="008878BB">
        <w:t xml:space="preserve"> the following</w:t>
      </w:r>
      <w:r w:rsidR="00EE4CD4">
        <w:t>:</w:t>
      </w:r>
      <w:r w:rsidR="00F91ED7">
        <w:t xml:space="preserve"> </w:t>
      </w:r>
    </w:p>
    <w:p w14:paraId="10847387" w14:textId="1F8FF79C" w:rsidR="00DC04E6" w:rsidRDefault="00D05CAE" w:rsidP="000F1767">
      <w:pPr>
        <w:pStyle w:val="ListParagraph2"/>
        <w:spacing w:after="0" w:line="240" w:lineRule="auto"/>
      </w:pPr>
      <w:r>
        <w:t>C</w:t>
      </w:r>
      <w:r w:rsidR="00DC04E6" w:rsidRPr="00A71E14">
        <w:t>apture of data r</w:t>
      </w:r>
      <w:r w:rsidR="00D54303">
        <w:t>elating to investments in</w:t>
      </w:r>
      <w:r w:rsidR="001D3B50">
        <w:t xml:space="preserve"> FTEs, </w:t>
      </w:r>
      <w:r w:rsidR="00DC04E6" w:rsidRPr="00A71E14">
        <w:t xml:space="preserve">hours spent on a case or </w:t>
      </w:r>
      <w:r w:rsidR="006369B1">
        <w:t>project</w:t>
      </w:r>
      <w:r w:rsidR="00006E0B">
        <w:t xml:space="preserve">, and human resource investments </w:t>
      </w:r>
      <w:r w:rsidR="00DC04E6" w:rsidRPr="00A71E14">
        <w:t>tracked through performance plans</w:t>
      </w:r>
      <w:r w:rsidR="003615EF">
        <w:t>;</w:t>
      </w:r>
      <w:r w:rsidR="00DC04E6" w:rsidRPr="00A71E14">
        <w:t xml:space="preserve">  </w:t>
      </w:r>
    </w:p>
    <w:p w14:paraId="40D3B927" w14:textId="69EE2526" w:rsidR="006369B1" w:rsidRDefault="00D05CAE" w:rsidP="000F1767">
      <w:pPr>
        <w:pStyle w:val="ListParagraph2"/>
        <w:spacing w:after="0" w:line="240" w:lineRule="auto"/>
      </w:pPr>
      <w:r>
        <w:t>F</w:t>
      </w:r>
      <w:r w:rsidR="00FD110B">
        <w:t>unds</w:t>
      </w:r>
      <w:r w:rsidR="006369B1">
        <w:t xml:space="preserve"> spent </w:t>
      </w:r>
      <w:r w:rsidR="00246994">
        <w:t>on</w:t>
      </w:r>
      <w:r w:rsidR="001D3B50">
        <w:t xml:space="preserve"> public involvement programs and</w:t>
      </w:r>
      <w:r w:rsidR="006369B1">
        <w:t xml:space="preserve"> collaborative activities</w:t>
      </w:r>
      <w:r w:rsidR="003615EF">
        <w:t>;</w:t>
      </w:r>
    </w:p>
    <w:p w14:paraId="2706057E" w14:textId="241215B3" w:rsidR="00D54303" w:rsidRDefault="00D05CAE" w:rsidP="000F1767">
      <w:pPr>
        <w:pStyle w:val="ListParagraph2"/>
        <w:spacing w:after="0" w:line="240" w:lineRule="auto"/>
      </w:pPr>
      <w:r>
        <w:t>F</w:t>
      </w:r>
      <w:r w:rsidR="00D54303">
        <w:t xml:space="preserve">unds spent on </w:t>
      </w:r>
      <w:r w:rsidR="00246994">
        <w:t xml:space="preserve">contracts with third-party neutrals or </w:t>
      </w:r>
      <w:r w:rsidR="00D54303">
        <w:t xml:space="preserve">interagency agreements </w:t>
      </w:r>
      <w:r w:rsidR="001D3B50">
        <w:t>to support and draw on rosters of third-party neutrals</w:t>
      </w:r>
      <w:r w:rsidR="003615EF">
        <w:t>; and</w:t>
      </w:r>
    </w:p>
    <w:p w14:paraId="666B3653" w14:textId="18194262" w:rsidR="00EE4CD4" w:rsidRDefault="00D05CAE" w:rsidP="000F1767">
      <w:pPr>
        <w:pStyle w:val="ListParagraph2"/>
        <w:spacing w:after="0" w:line="240" w:lineRule="auto"/>
      </w:pPr>
      <w:r>
        <w:t>T</w:t>
      </w:r>
      <w:r w:rsidR="00FD110B">
        <w:t xml:space="preserve">racking </w:t>
      </w:r>
      <w:r w:rsidR="00246994">
        <w:t xml:space="preserve">ECCR cases </w:t>
      </w:r>
      <w:r w:rsidR="001D3B50">
        <w:t>through a case tracking system (FERC</w:t>
      </w:r>
      <w:r w:rsidR="00A72107">
        <w:t>, EPA</w:t>
      </w:r>
      <w:r w:rsidR="001D3B50">
        <w:t>) or case docket system in form</w:t>
      </w:r>
      <w:r w:rsidR="005042BB" w:rsidRPr="00A71E14">
        <w:t>al administrative or judicial forums</w:t>
      </w:r>
      <w:r w:rsidR="001D3B50">
        <w:t xml:space="preserve"> (DOI)</w:t>
      </w:r>
      <w:r w:rsidR="003615EF">
        <w:t>.</w:t>
      </w:r>
      <w:r w:rsidR="005042BB" w:rsidRPr="00A71E14">
        <w:t xml:space="preserve"> </w:t>
      </w:r>
    </w:p>
    <w:p w14:paraId="280B5046" w14:textId="77777777" w:rsidR="00C3185E" w:rsidRPr="00C3185E" w:rsidRDefault="00C3185E" w:rsidP="00C3185E">
      <w:pPr>
        <w:autoSpaceDE w:val="0"/>
        <w:autoSpaceDN w:val="0"/>
        <w:adjustRightInd w:val="0"/>
        <w:spacing w:after="0" w:line="240" w:lineRule="auto"/>
        <w:rPr>
          <w:rFonts w:ascii="Times New Roman" w:hAnsi="Times New Roman" w:cs="Times New Roman"/>
          <w:color w:val="000000"/>
          <w:sz w:val="23"/>
          <w:szCs w:val="23"/>
        </w:rPr>
      </w:pPr>
    </w:p>
    <w:p w14:paraId="4DA74726" w14:textId="2EC1B279" w:rsidR="00E22F76" w:rsidRDefault="003643E3" w:rsidP="00CA3CBD">
      <w:pPr>
        <w:spacing w:after="0" w:line="240" w:lineRule="auto"/>
      </w:pPr>
      <w:r>
        <w:t>Figure 4</w:t>
      </w:r>
      <w:r w:rsidR="0000399E">
        <w:t xml:space="preserve"> </w:t>
      </w:r>
      <w:r w:rsidR="00050235">
        <w:t>list</w:t>
      </w:r>
      <w:r w:rsidR="00934B50">
        <w:t xml:space="preserve">s </w:t>
      </w:r>
      <w:r w:rsidR="00373A47">
        <w:t xml:space="preserve">reported </w:t>
      </w:r>
      <w:r w:rsidR="000F1767">
        <w:t>m</w:t>
      </w:r>
      <w:r w:rsidR="000F1767" w:rsidRPr="00F91ED7">
        <w:t xml:space="preserve">ethods </w:t>
      </w:r>
      <w:r w:rsidR="00437EB9">
        <w:t>for</w:t>
      </w:r>
      <w:r w:rsidR="00050235">
        <w:t xml:space="preserve"> </w:t>
      </w:r>
      <w:r w:rsidR="000F1767">
        <w:t>a</w:t>
      </w:r>
      <w:r w:rsidR="000F1767" w:rsidRPr="00F91ED7">
        <w:t>ssess</w:t>
      </w:r>
      <w:r w:rsidR="00437EB9">
        <w:t>ing</w:t>
      </w:r>
      <w:r w:rsidR="00934B50">
        <w:t xml:space="preserve"> use of ECCR processes and </w:t>
      </w:r>
      <w:r>
        <w:t xml:space="preserve">the </w:t>
      </w:r>
      <w:r w:rsidR="00437EB9">
        <w:t>associated</w:t>
      </w:r>
      <w:r w:rsidR="00934B50">
        <w:t xml:space="preserve"> </w:t>
      </w:r>
      <w:r w:rsidR="000F1767">
        <w:t>costs and benefits</w:t>
      </w:r>
      <w:r w:rsidR="00373A47">
        <w:t xml:space="preserve"> in FY 2016</w:t>
      </w:r>
      <w:r w:rsidR="002456E9">
        <w:t xml:space="preserve">.  </w:t>
      </w:r>
      <w:r w:rsidR="00050235">
        <w:t xml:space="preserve"> </w:t>
      </w:r>
    </w:p>
    <w:p w14:paraId="71B4E1D0" w14:textId="77777777" w:rsidR="00CA3CBD" w:rsidRPr="00DF2D58" w:rsidRDefault="00CA3CBD" w:rsidP="00CA3CBD">
      <w:pPr>
        <w:spacing w:after="0" w:line="240" w:lineRule="auto"/>
        <w:rPr>
          <w:b/>
        </w:rPr>
      </w:pPr>
    </w:p>
    <w:p w14:paraId="1D713418" w14:textId="5510DCBE" w:rsidR="00C82B2E" w:rsidRPr="00DF2D58" w:rsidRDefault="003643E3" w:rsidP="00C82B2E">
      <w:pPr>
        <w:rPr>
          <w:rFonts w:ascii="Segoe UI" w:hAnsi="Segoe UI" w:cs="Segoe UI"/>
          <w:b/>
        </w:rPr>
      </w:pPr>
      <w:r>
        <w:rPr>
          <w:rFonts w:ascii="Segoe UI" w:hAnsi="Segoe UI" w:cs="Segoe UI"/>
          <w:b/>
        </w:rPr>
        <w:t>Figure 4</w:t>
      </w:r>
      <w:r w:rsidR="00C82B2E" w:rsidRPr="00DF2D58">
        <w:rPr>
          <w:rFonts w:ascii="Segoe UI" w:hAnsi="Segoe UI" w:cs="Segoe UI"/>
          <w:b/>
        </w:rPr>
        <w:t xml:space="preserve">.  </w:t>
      </w:r>
      <w:r w:rsidR="00050235" w:rsidRPr="00DF2D58">
        <w:rPr>
          <w:rFonts w:ascii="Segoe UI" w:hAnsi="Segoe UI" w:cs="Segoe UI"/>
          <w:b/>
        </w:rPr>
        <w:t>M</w:t>
      </w:r>
      <w:r w:rsidR="00005ED4" w:rsidRPr="00DF2D58">
        <w:rPr>
          <w:rFonts w:ascii="Segoe UI" w:hAnsi="Segoe UI" w:cs="Segoe UI"/>
          <w:b/>
        </w:rPr>
        <w:t xml:space="preserve">ethods for </w:t>
      </w:r>
      <w:r w:rsidR="00F91ED7" w:rsidRPr="00DF2D58">
        <w:rPr>
          <w:rFonts w:ascii="Segoe UI" w:hAnsi="Segoe UI" w:cs="Segoe UI"/>
          <w:b/>
        </w:rPr>
        <w:t>a</w:t>
      </w:r>
      <w:r w:rsidR="00005ED4" w:rsidRPr="00DF2D58">
        <w:rPr>
          <w:rFonts w:ascii="Segoe UI" w:hAnsi="Segoe UI" w:cs="Segoe UI"/>
          <w:b/>
        </w:rPr>
        <w:t xml:space="preserve">ssessing </w:t>
      </w:r>
      <w:r w:rsidR="00437EB9" w:rsidRPr="00DF2D58">
        <w:rPr>
          <w:rFonts w:ascii="Segoe UI" w:hAnsi="Segoe UI" w:cs="Segoe UI"/>
          <w:b/>
        </w:rPr>
        <w:t xml:space="preserve">ECCR </w:t>
      </w:r>
      <w:r w:rsidR="00BF5946" w:rsidRPr="00DF2D58">
        <w:rPr>
          <w:rFonts w:ascii="Segoe UI" w:hAnsi="Segoe UI" w:cs="Segoe UI"/>
          <w:b/>
        </w:rPr>
        <w:t>use</w:t>
      </w:r>
      <w:r w:rsidR="00437EB9" w:rsidRPr="00DF2D58">
        <w:rPr>
          <w:rFonts w:ascii="Segoe UI" w:hAnsi="Segoe UI" w:cs="Segoe UI"/>
          <w:b/>
        </w:rPr>
        <w:t xml:space="preserve">, </w:t>
      </w:r>
      <w:r w:rsidR="00F91ED7" w:rsidRPr="00DF2D58">
        <w:rPr>
          <w:rFonts w:ascii="Segoe UI" w:hAnsi="Segoe UI" w:cs="Segoe UI"/>
          <w:b/>
        </w:rPr>
        <w:t>costs</w:t>
      </w:r>
      <w:r w:rsidR="00437EB9" w:rsidRPr="00DF2D58">
        <w:rPr>
          <w:rFonts w:ascii="Segoe UI" w:hAnsi="Segoe UI" w:cs="Segoe UI"/>
          <w:b/>
        </w:rPr>
        <w:t>,</w:t>
      </w:r>
      <w:r w:rsidR="00F91ED7" w:rsidRPr="00DF2D58">
        <w:rPr>
          <w:rFonts w:ascii="Segoe UI" w:hAnsi="Segoe UI" w:cs="Segoe UI"/>
          <w:b/>
        </w:rPr>
        <w:t xml:space="preserve"> and benefits</w:t>
      </w:r>
      <w:r w:rsidR="00C82B2E" w:rsidRPr="00DF2D58">
        <w:rPr>
          <w:rFonts w:ascii="Segoe UI" w:hAnsi="Segoe UI" w:cs="Segoe UI"/>
          <w:b/>
        </w:rPr>
        <w:t xml:space="preserve"> </w:t>
      </w:r>
    </w:p>
    <w:tbl>
      <w:tblPr>
        <w:tblStyle w:val="TableGrid"/>
        <w:tblW w:w="6745" w:type="dxa"/>
        <w:jc w:val="center"/>
        <w:tblLayout w:type="fixed"/>
        <w:tblLook w:val="04A0" w:firstRow="1" w:lastRow="0" w:firstColumn="1" w:lastColumn="0" w:noHBand="0" w:noVBand="1"/>
      </w:tblPr>
      <w:tblGrid>
        <w:gridCol w:w="6745"/>
      </w:tblGrid>
      <w:tr w:rsidR="00050235" w:rsidRPr="00DC04E6" w14:paraId="131D5D13" w14:textId="77777777" w:rsidTr="00934B50">
        <w:trPr>
          <w:trHeight w:val="432"/>
          <w:jc w:val="center"/>
        </w:trPr>
        <w:tc>
          <w:tcPr>
            <w:tcW w:w="6745" w:type="dxa"/>
            <w:shd w:val="clear" w:color="auto" w:fill="DEEAF6" w:themeFill="accent1" w:themeFillTint="33"/>
            <w:vAlign w:val="center"/>
          </w:tcPr>
          <w:p w14:paraId="427B66A3" w14:textId="77777777" w:rsidR="00050235" w:rsidRPr="00DC04E6" w:rsidRDefault="00050235" w:rsidP="009E4044">
            <w:pPr>
              <w:rPr>
                <w:b/>
              </w:rPr>
            </w:pPr>
            <w:r w:rsidRPr="00DC04E6">
              <w:rPr>
                <w:b/>
              </w:rPr>
              <w:t>Qualitative Methods</w:t>
            </w:r>
          </w:p>
        </w:tc>
      </w:tr>
      <w:tr w:rsidR="00050235" w:rsidRPr="002456E9" w14:paraId="5287ED2B" w14:textId="77777777" w:rsidTr="00934B50">
        <w:trPr>
          <w:trHeight w:val="432"/>
          <w:jc w:val="center"/>
        </w:trPr>
        <w:tc>
          <w:tcPr>
            <w:tcW w:w="6745" w:type="dxa"/>
            <w:vAlign w:val="center"/>
          </w:tcPr>
          <w:p w14:paraId="68885DEB" w14:textId="77777777" w:rsidR="00050235" w:rsidRPr="002456E9" w:rsidRDefault="00050235" w:rsidP="00934B50">
            <w:pPr>
              <w:pStyle w:val="ListParagraph"/>
              <w:numPr>
                <w:ilvl w:val="0"/>
                <w:numId w:val="28"/>
              </w:numPr>
              <w:ind w:left="247" w:hanging="180"/>
              <w:rPr>
                <w:sz w:val="18"/>
              </w:rPr>
            </w:pPr>
            <w:r w:rsidRPr="002456E9">
              <w:rPr>
                <w:sz w:val="18"/>
              </w:rPr>
              <w:t>Annual agency ECCR reports</w:t>
            </w:r>
          </w:p>
        </w:tc>
      </w:tr>
      <w:tr w:rsidR="00050235" w:rsidRPr="002456E9" w14:paraId="4679659C" w14:textId="77777777" w:rsidTr="00934B50">
        <w:trPr>
          <w:trHeight w:val="432"/>
          <w:jc w:val="center"/>
        </w:trPr>
        <w:tc>
          <w:tcPr>
            <w:tcW w:w="6745" w:type="dxa"/>
            <w:vAlign w:val="center"/>
          </w:tcPr>
          <w:p w14:paraId="43A25A92" w14:textId="7D4622E3" w:rsidR="00050235" w:rsidRPr="002456E9" w:rsidRDefault="00850AB8" w:rsidP="00934B50">
            <w:pPr>
              <w:pStyle w:val="ListParagraph"/>
              <w:numPr>
                <w:ilvl w:val="0"/>
                <w:numId w:val="28"/>
              </w:numPr>
              <w:ind w:left="247" w:hanging="180"/>
              <w:rPr>
                <w:sz w:val="18"/>
              </w:rPr>
            </w:pPr>
            <w:r>
              <w:rPr>
                <w:sz w:val="18"/>
              </w:rPr>
              <w:t>Qualitative survey questions on perceived benefits</w:t>
            </w:r>
          </w:p>
        </w:tc>
      </w:tr>
      <w:tr w:rsidR="00050235" w:rsidRPr="002456E9" w14:paraId="28BE0724" w14:textId="77777777" w:rsidTr="00934B50">
        <w:trPr>
          <w:trHeight w:val="432"/>
          <w:jc w:val="center"/>
        </w:trPr>
        <w:tc>
          <w:tcPr>
            <w:tcW w:w="6745" w:type="dxa"/>
            <w:vAlign w:val="center"/>
          </w:tcPr>
          <w:p w14:paraId="3A3BF1F5" w14:textId="729BCB34" w:rsidR="00050235" w:rsidRPr="002456E9" w:rsidRDefault="00050235" w:rsidP="00934B50">
            <w:pPr>
              <w:pStyle w:val="ListParagraph"/>
              <w:numPr>
                <w:ilvl w:val="0"/>
                <w:numId w:val="28"/>
              </w:numPr>
              <w:ind w:left="247" w:hanging="180"/>
              <w:rPr>
                <w:sz w:val="18"/>
              </w:rPr>
            </w:pPr>
            <w:r w:rsidRPr="002456E9">
              <w:rPr>
                <w:sz w:val="18"/>
              </w:rPr>
              <w:t>Documentation of lessons learned</w:t>
            </w:r>
            <w:r w:rsidR="00D73F50">
              <w:rPr>
                <w:sz w:val="18"/>
              </w:rPr>
              <w:t xml:space="preserve"> and case studies</w:t>
            </w:r>
          </w:p>
        </w:tc>
      </w:tr>
      <w:tr w:rsidR="00050235" w:rsidRPr="002456E9" w14:paraId="25F31E99" w14:textId="77777777" w:rsidTr="00934B50">
        <w:trPr>
          <w:trHeight w:val="432"/>
          <w:jc w:val="center"/>
        </w:trPr>
        <w:tc>
          <w:tcPr>
            <w:tcW w:w="6745" w:type="dxa"/>
            <w:vAlign w:val="center"/>
          </w:tcPr>
          <w:p w14:paraId="1D24C054" w14:textId="1BA2E69B" w:rsidR="00050235" w:rsidRPr="002456E9" w:rsidRDefault="00850AB8" w:rsidP="00934B50">
            <w:pPr>
              <w:pStyle w:val="ListParagraph"/>
              <w:numPr>
                <w:ilvl w:val="0"/>
                <w:numId w:val="28"/>
              </w:numPr>
              <w:ind w:left="247" w:hanging="180"/>
              <w:rPr>
                <w:sz w:val="18"/>
              </w:rPr>
            </w:pPr>
            <w:r>
              <w:rPr>
                <w:sz w:val="18"/>
              </w:rPr>
              <w:t>Evaluations of ECCR meetings and process outcomes</w:t>
            </w:r>
          </w:p>
        </w:tc>
      </w:tr>
      <w:tr w:rsidR="00050235" w:rsidRPr="00DC04E6" w14:paraId="702DAB3C" w14:textId="77777777" w:rsidTr="00934B50">
        <w:trPr>
          <w:trHeight w:val="432"/>
          <w:jc w:val="center"/>
        </w:trPr>
        <w:tc>
          <w:tcPr>
            <w:tcW w:w="6745" w:type="dxa"/>
            <w:shd w:val="clear" w:color="auto" w:fill="DEEAF6" w:themeFill="accent1" w:themeFillTint="33"/>
            <w:vAlign w:val="center"/>
          </w:tcPr>
          <w:p w14:paraId="7AE9A361" w14:textId="77777777" w:rsidR="00050235" w:rsidRPr="00DC04E6" w:rsidRDefault="00050235" w:rsidP="009E4044">
            <w:pPr>
              <w:rPr>
                <w:b/>
                <w:sz w:val="28"/>
                <w:szCs w:val="28"/>
              </w:rPr>
            </w:pPr>
            <w:r w:rsidRPr="00DC04E6">
              <w:rPr>
                <w:b/>
              </w:rPr>
              <w:t>Quantitative Methods</w:t>
            </w:r>
          </w:p>
        </w:tc>
      </w:tr>
      <w:tr w:rsidR="00050235" w:rsidRPr="002456E9" w14:paraId="4A0C0EF0" w14:textId="77777777" w:rsidTr="00934B50">
        <w:trPr>
          <w:trHeight w:val="432"/>
          <w:jc w:val="center"/>
        </w:trPr>
        <w:tc>
          <w:tcPr>
            <w:tcW w:w="6745" w:type="dxa"/>
            <w:vAlign w:val="center"/>
          </w:tcPr>
          <w:p w14:paraId="4918734C" w14:textId="364D9B86" w:rsidR="00050235" w:rsidRPr="002456E9" w:rsidRDefault="00050235" w:rsidP="00850AB8">
            <w:pPr>
              <w:pStyle w:val="ListParagraph"/>
              <w:numPr>
                <w:ilvl w:val="0"/>
                <w:numId w:val="28"/>
              </w:numPr>
              <w:ind w:left="247" w:hanging="180"/>
              <w:rPr>
                <w:sz w:val="18"/>
              </w:rPr>
            </w:pPr>
            <w:r w:rsidRPr="002456E9">
              <w:rPr>
                <w:sz w:val="18"/>
              </w:rPr>
              <w:t>Dedicated evaluation programs</w:t>
            </w:r>
            <w:r w:rsidR="00850AB8">
              <w:rPr>
                <w:sz w:val="18"/>
              </w:rPr>
              <w:t xml:space="preserve"> to assess use, costs, and benefits of ECCR</w:t>
            </w:r>
          </w:p>
        </w:tc>
      </w:tr>
      <w:tr w:rsidR="00D73F50" w:rsidRPr="002456E9" w14:paraId="74CA302E" w14:textId="77777777" w:rsidTr="00934B50">
        <w:trPr>
          <w:trHeight w:val="432"/>
          <w:jc w:val="center"/>
        </w:trPr>
        <w:tc>
          <w:tcPr>
            <w:tcW w:w="6745" w:type="dxa"/>
            <w:vAlign w:val="center"/>
          </w:tcPr>
          <w:p w14:paraId="183999B3" w14:textId="74DE4B4D" w:rsidR="00D73F50" w:rsidRDefault="00D73F50" w:rsidP="00934B50">
            <w:pPr>
              <w:pStyle w:val="ListParagraph"/>
              <w:numPr>
                <w:ilvl w:val="0"/>
                <w:numId w:val="28"/>
              </w:numPr>
              <w:ind w:left="247" w:hanging="180"/>
              <w:rPr>
                <w:sz w:val="18"/>
              </w:rPr>
            </w:pPr>
            <w:r>
              <w:rPr>
                <w:sz w:val="18"/>
              </w:rPr>
              <w:t>Tracking labor hours and travel costs for staff supporting ECCR activities</w:t>
            </w:r>
          </w:p>
        </w:tc>
      </w:tr>
      <w:tr w:rsidR="00FE508A" w:rsidRPr="002456E9" w14:paraId="62C852A9" w14:textId="77777777" w:rsidTr="009E4044">
        <w:trPr>
          <w:trHeight w:val="432"/>
          <w:jc w:val="center"/>
        </w:trPr>
        <w:tc>
          <w:tcPr>
            <w:tcW w:w="6745" w:type="dxa"/>
            <w:vAlign w:val="center"/>
          </w:tcPr>
          <w:p w14:paraId="724BD8C8" w14:textId="77777777" w:rsidR="00FE508A" w:rsidRPr="002456E9" w:rsidRDefault="00FE508A" w:rsidP="009E4044">
            <w:pPr>
              <w:pStyle w:val="ListParagraph"/>
              <w:numPr>
                <w:ilvl w:val="0"/>
                <w:numId w:val="28"/>
              </w:numPr>
              <w:ind w:left="247" w:hanging="180"/>
              <w:rPr>
                <w:sz w:val="18"/>
              </w:rPr>
            </w:pPr>
            <w:r>
              <w:rPr>
                <w:sz w:val="18"/>
              </w:rPr>
              <w:t>Funds spent on ECCR contracts, the use of t</w:t>
            </w:r>
            <w:r w:rsidRPr="002456E9">
              <w:rPr>
                <w:sz w:val="18"/>
              </w:rPr>
              <w:t>hird-</w:t>
            </w:r>
            <w:r>
              <w:rPr>
                <w:sz w:val="18"/>
              </w:rPr>
              <w:t>party n</w:t>
            </w:r>
            <w:r w:rsidRPr="002456E9">
              <w:rPr>
                <w:sz w:val="18"/>
              </w:rPr>
              <w:t>eutrals</w:t>
            </w:r>
            <w:r>
              <w:rPr>
                <w:sz w:val="18"/>
              </w:rPr>
              <w:t>, and ECCR programs</w:t>
            </w:r>
          </w:p>
        </w:tc>
      </w:tr>
      <w:tr w:rsidR="00FE508A" w:rsidRPr="002456E9" w14:paraId="5AAC4ED5" w14:textId="77777777" w:rsidTr="009E4044">
        <w:trPr>
          <w:trHeight w:val="432"/>
          <w:jc w:val="center"/>
        </w:trPr>
        <w:tc>
          <w:tcPr>
            <w:tcW w:w="6745" w:type="dxa"/>
            <w:vAlign w:val="center"/>
          </w:tcPr>
          <w:p w14:paraId="38922BEF" w14:textId="77777777" w:rsidR="00FE508A" w:rsidRPr="002456E9" w:rsidRDefault="00FE508A" w:rsidP="009E4044">
            <w:pPr>
              <w:pStyle w:val="ListParagraph"/>
              <w:numPr>
                <w:ilvl w:val="0"/>
                <w:numId w:val="28"/>
              </w:numPr>
              <w:ind w:left="247" w:hanging="180"/>
              <w:rPr>
                <w:sz w:val="18"/>
              </w:rPr>
            </w:pPr>
            <w:r w:rsidRPr="008F5ABF">
              <w:rPr>
                <w:sz w:val="18"/>
              </w:rPr>
              <w:t>Tracking ECCR cases and/or hours in environmental project databases</w:t>
            </w:r>
            <w:r>
              <w:rPr>
                <w:sz w:val="18"/>
              </w:rPr>
              <w:t xml:space="preserve"> and case docket systems</w:t>
            </w:r>
          </w:p>
        </w:tc>
      </w:tr>
    </w:tbl>
    <w:p w14:paraId="4C1735D7" w14:textId="77777777" w:rsidR="00FF0ACA" w:rsidRDefault="00FF0ACA" w:rsidP="00FF0ACA">
      <w:pPr>
        <w:pStyle w:val="Default"/>
        <w:rPr>
          <w:sz w:val="23"/>
          <w:szCs w:val="23"/>
        </w:rPr>
      </w:pPr>
    </w:p>
    <w:p w14:paraId="1FEFE293" w14:textId="0F829AD5" w:rsidR="00DB5EA5" w:rsidRPr="00261B68" w:rsidRDefault="00F74C78" w:rsidP="00437EB9">
      <w:pPr>
        <w:pStyle w:val="Heading1"/>
        <w:spacing w:before="360"/>
        <w:rPr>
          <w:color w:val="auto"/>
        </w:rPr>
      </w:pPr>
      <w:r w:rsidRPr="00261B68">
        <w:rPr>
          <w:color w:val="auto"/>
        </w:rPr>
        <w:t xml:space="preserve">Data Collection and Reporting </w:t>
      </w:r>
      <w:r w:rsidR="00DB5EA5" w:rsidRPr="00261B68">
        <w:rPr>
          <w:color w:val="auto"/>
        </w:rPr>
        <w:t xml:space="preserve">Challenges  </w:t>
      </w:r>
    </w:p>
    <w:p w14:paraId="5F98F231" w14:textId="3C3BD543" w:rsidR="00B705E8" w:rsidRDefault="00F74C78" w:rsidP="003D6D15">
      <w:pPr>
        <w:autoSpaceDE w:val="0"/>
        <w:autoSpaceDN w:val="0"/>
        <w:adjustRightInd w:val="0"/>
        <w:spacing w:after="0" w:line="240" w:lineRule="auto"/>
        <w:rPr>
          <w:color w:val="000000"/>
        </w:rPr>
      </w:pPr>
      <w:r>
        <w:rPr>
          <w:color w:val="000000"/>
        </w:rPr>
        <w:t>Several respondents</w:t>
      </w:r>
      <w:r w:rsidR="00DB5EA5" w:rsidRPr="003D6D15">
        <w:rPr>
          <w:color w:val="000000"/>
        </w:rPr>
        <w:t xml:space="preserve"> </w:t>
      </w:r>
      <w:r>
        <w:rPr>
          <w:color w:val="000000"/>
        </w:rPr>
        <w:t>noted</w:t>
      </w:r>
      <w:r w:rsidR="00DB5EA5" w:rsidRPr="003D6D15">
        <w:rPr>
          <w:color w:val="000000"/>
        </w:rPr>
        <w:t xml:space="preserve"> challenges </w:t>
      </w:r>
      <w:r>
        <w:rPr>
          <w:color w:val="000000"/>
        </w:rPr>
        <w:t>with gathering the data</w:t>
      </w:r>
      <w:r w:rsidR="002A1CC7">
        <w:rPr>
          <w:color w:val="000000"/>
        </w:rPr>
        <w:t xml:space="preserve"> required for the annual report</w:t>
      </w:r>
      <w:r>
        <w:rPr>
          <w:color w:val="000000"/>
        </w:rPr>
        <w:t xml:space="preserve"> and </w:t>
      </w:r>
      <w:proofErr w:type="gramStart"/>
      <w:r>
        <w:rPr>
          <w:color w:val="000000"/>
        </w:rPr>
        <w:t xml:space="preserve">in particular </w:t>
      </w:r>
      <w:r w:rsidR="002A1CC7">
        <w:rPr>
          <w:color w:val="000000"/>
        </w:rPr>
        <w:t>with</w:t>
      </w:r>
      <w:proofErr w:type="gramEnd"/>
      <w:r w:rsidR="002A1CC7">
        <w:rPr>
          <w:color w:val="000000"/>
        </w:rPr>
        <w:t xml:space="preserve"> generating cost/</w:t>
      </w:r>
      <w:r w:rsidR="00DB5EA5" w:rsidRPr="003D6D15">
        <w:rPr>
          <w:color w:val="000000"/>
        </w:rPr>
        <w:t>benefit in</w:t>
      </w:r>
      <w:r w:rsidR="005C70E2">
        <w:rPr>
          <w:color w:val="000000"/>
        </w:rPr>
        <w:t>formation associated with ECCR.</w:t>
      </w:r>
      <w:r w:rsidR="00835901">
        <w:rPr>
          <w:color w:val="000000"/>
        </w:rPr>
        <w:t xml:space="preserve"> Many pointed to the difficulty in engaging staff in the time- and resource-intensive exercise of collecting ECCR data on an annual basis. The effort can be hindered by a lack of internal resources</w:t>
      </w:r>
      <w:r w:rsidR="000F5CE7">
        <w:rPr>
          <w:color w:val="000000"/>
        </w:rPr>
        <w:t xml:space="preserve"> to</w:t>
      </w:r>
      <w:r w:rsidR="00835901">
        <w:rPr>
          <w:color w:val="000000"/>
        </w:rPr>
        <w:t xml:space="preserve"> conduct </w:t>
      </w:r>
      <w:r w:rsidR="00166F59">
        <w:rPr>
          <w:color w:val="000000"/>
        </w:rPr>
        <w:t>these efforts</w:t>
      </w:r>
      <w:r w:rsidR="00835901">
        <w:rPr>
          <w:color w:val="000000"/>
        </w:rPr>
        <w:t xml:space="preserve">, as well as </w:t>
      </w:r>
      <w:r w:rsidR="000D33E0">
        <w:rPr>
          <w:color w:val="000000"/>
        </w:rPr>
        <w:t xml:space="preserve">by </w:t>
      </w:r>
      <w:r w:rsidR="00835901">
        <w:rPr>
          <w:color w:val="000000"/>
        </w:rPr>
        <w:t xml:space="preserve">staff turnover. </w:t>
      </w:r>
    </w:p>
    <w:p w14:paraId="523D92D5" w14:textId="77777777" w:rsidR="00B705E8" w:rsidRDefault="00B705E8" w:rsidP="003D6D15">
      <w:pPr>
        <w:autoSpaceDE w:val="0"/>
        <w:autoSpaceDN w:val="0"/>
        <w:adjustRightInd w:val="0"/>
        <w:spacing w:after="0" w:line="240" w:lineRule="auto"/>
        <w:rPr>
          <w:color w:val="000000"/>
        </w:rPr>
      </w:pPr>
    </w:p>
    <w:p w14:paraId="5B3FC761" w14:textId="60521959" w:rsidR="00835901" w:rsidRDefault="00835901" w:rsidP="003D6D15">
      <w:pPr>
        <w:autoSpaceDE w:val="0"/>
        <w:autoSpaceDN w:val="0"/>
        <w:adjustRightInd w:val="0"/>
        <w:spacing w:after="0" w:line="240" w:lineRule="auto"/>
        <w:rPr>
          <w:color w:val="000000"/>
        </w:rPr>
      </w:pPr>
      <w:r>
        <w:rPr>
          <w:color w:val="000000"/>
        </w:rPr>
        <w:t>To aid in future data collection efforts, respondents made the following suggestions</w:t>
      </w:r>
      <w:r w:rsidR="000C454D" w:rsidRPr="00DB02EE">
        <w:rPr>
          <w:color w:val="000000"/>
        </w:rPr>
        <w:t>. The suggesting agency is listed in parenthesis after each suggestion and does not constitute a consensus based recommendation on the part of the Federal ECCR Forum. S</w:t>
      </w:r>
      <w:r w:rsidR="0091267D" w:rsidRPr="00DB02EE">
        <w:rPr>
          <w:color w:val="000000"/>
        </w:rPr>
        <w:t xml:space="preserve">ome of </w:t>
      </w:r>
      <w:r w:rsidR="000C454D" w:rsidRPr="00DB02EE">
        <w:rPr>
          <w:color w:val="000000"/>
        </w:rPr>
        <w:t>the recommendations are already being implemented by agencies other than the recommending agency.</w:t>
      </w:r>
    </w:p>
    <w:p w14:paraId="20BE77B6" w14:textId="2AE7A3CB" w:rsidR="00835901" w:rsidRDefault="00EA25CD" w:rsidP="003C15AB">
      <w:pPr>
        <w:pStyle w:val="ListParagraph"/>
        <w:numPr>
          <w:ilvl w:val="0"/>
          <w:numId w:val="40"/>
        </w:numPr>
        <w:autoSpaceDE w:val="0"/>
        <w:autoSpaceDN w:val="0"/>
        <w:adjustRightInd w:val="0"/>
        <w:spacing w:after="0" w:line="240" w:lineRule="auto"/>
        <w:rPr>
          <w:color w:val="000000"/>
        </w:rPr>
      </w:pPr>
      <w:bookmarkStart w:id="3" w:name="_GoBack"/>
      <w:r>
        <w:rPr>
          <w:color w:val="000000"/>
        </w:rPr>
        <w:t>C</w:t>
      </w:r>
      <w:r w:rsidR="00835901">
        <w:rPr>
          <w:color w:val="000000"/>
        </w:rPr>
        <w:t>reat</w:t>
      </w:r>
      <w:r w:rsidR="0084185D">
        <w:rPr>
          <w:color w:val="000000"/>
        </w:rPr>
        <w:t>e</w:t>
      </w:r>
      <w:r w:rsidR="00835901">
        <w:rPr>
          <w:color w:val="000000"/>
        </w:rPr>
        <w:t xml:space="preserve"> a collection system to monitor ECCR efforts throughout the year rather than at the end of the year</w:t>
      </w:r>
      <w:r w:rsidR="004422D4">
        <w:rPr>
          <w:color w:val="000000"/>
        </w:rPr>
        <w:t xml:space="preserve">, given the difficulty </w:t>
      </w:r>
      <w:r w:rsidR="00105941">
        <w:rPr>
          <w:color w:val="000000"/>
        </w:rPr>
        <w:t>and threats</w:t>
      </w:r>
      <w:r w:rsidR="006F39A3">
        <w:rPr>
          <w:color w:val="000000"/>
        </w:rPr>
        <w:t xml:space="preserve"> to </w:t>
      </w:r>
      <w:r w:rsidR="004422D4">
        <w:rPr>
          <w:color w:val="000000"/>
        </w:rPr>
        <w:t>reliability of retrospective reporting</w:t>
      </w:r>
      <w:r w:rsidR="00DB02EE">
        <w:rPr>
          <w:color w:val="000000"/>
        </w:rPr>
        <w:t xml:space="preserve"> (multiple agencies)</w:t>
      </w:r>
      <w:r w:rsidR="003615EF">
        <w:rPr>
          <w:color w:val="000000"/>
        </w:rPr>
        <w:t>;</w:t>
      </w:r>
    </w:p>
    <w:p w14:paraId="22316584" w14:textId="4380F573" w:rsidR="0032362B" w:rsidRDefault="00EA25CD" w:rsidP="003C15AB">
      <w:pPr>
        <w:pStyle w:val="ListParagraph"/>
        <w:numPr>
          <w:ilvl w:val="0"/>
          <w:numId w:val="40"/>
        </w:numPr>
        <w:autoSpaceDE w:val="0"/>
        <w:autoSpaceDN w:val="0"/>
        <w:adjustRightInd w:val="0"/>
        <w:spacing w:after="0" w:line="240" w:lineRule="auto"/>
        <w:rPr>
          <w:color w:val="000000"/>
        </w:rPr>
      </w:pPr>
      <w:r>
        <w:rPr>
          <w:color w:val="000000"/>
        </w:rPr>
        <w:t>S</w:t>
      </w:r>
      <w:r w:rsidR="00835901">
        <w:rPr>
          <w:color w:val="000000"/>
        </w:rPr>
        <w:t>implify the report format for agencies whose mission focus is not licensing, permitting, or environmental enforcement</w:t>
      </w:r>
      <w:r w:rsidR="00DB02EE">
        <w:rPr>
          <w:color w:val="000000"/>
        </w:rPr>
        <w:t xml:space="preserve"> (multiple agencies)</w:t>
      </w:r>
      <w:r w:rsidR="003615EF">
        <w:rPr>
          <w:color w:val="000000"/>
        </w:rPr>
        <w:t xml:space="preserve">; </w:t>
      </w:r>
    </w:p>
    <w:p w14:paraId="09796CE4" w14:textId="5BAD2059" w:rsidR="0032362B" w:rsidRDefault="00EA25CD" w:rsidP="003C15AB">
      <w:pPr>
        <w:pStyle w:val="ListParagraph"/>
        <w:numPr>
          <w:ilvl w:val="0"/>
          <w:numId w:val="40"/>
        </w:numPr>
        <w:autoSpaceDE w:val="0"/>
        <w:autoSpaceDN w:val="0"/>
        <w:adjustRightInd w:val="0"/>
        <w:spacing w:after="0" w:line="240" w:lineRule="auto"/>
        <w:rPr>
          <w:color w:val="000000"/>
        </w:rPr>
      </w:pPr>
      <w:r>
        <w:rPr>
          <w:color w:val="000000"/>
        </w:rPr>
        <w:t>D</w:t>
      </w:r>
      <w:r w:rsidR="00261B68">
        <w:rPr>
          <w:color w:val="000000"/>
        </w:rPr>
        <w:t>evelop an OMB-</w:t>
      </w:r>
      <w:r w:rsidR="0032362B">
        <w:rPr>
          <w:color w:val="000000"/>
        </w:rPr>
        <w:t>approved form for capturing the time and costs incurred by other Federal, state, local, and tribal government partners in these efforts as well as private individuals (DOI);</w:t>
      </w:r>
    </w:p>
    <w:p w14:paraId="2EC7E5E4" w14:textId="5D83DBC5" w:rsidR="0032362B" w:rsidRDefault="00EA25CD" w:rsidP="003C15AB">
      <w:pPr>
        <w:pStyle w:val="ListParagraph"/>
        <w:numPr>
          <w:ilvl w:val="0"/>
          <w:numId w:val="40"/>
        </w:numPr>
        <w:autoSpaceDE w:val="0"/>
        <w:autoSpaceDN w:val="0"/>
        <w:adjustRightInd w:val="0"/>
        <w:spacing w:after="0" w:line="240" w:lineRule="auto"/>
        <w:rPr>
          <w:color w:val="000000"/>
        </w:rPr>
      </w:pPr>
      <w:r>
        <w:rPr>
          <w:color w:val="000000"/>
        </w:rPr>
        <w:t>D</w:t>
      </w:r>
      <w:r w:rsidR="0032362B">
        <w:rPr>
          <w:color w:val="000000"/>
        </w:rPr>
        <w:t>evelop a mechanism for comparing combined costs of ECCR process to combined costs associated with litigation (DOI);</w:t>
      </w:r>
    </w:p>
    <w:p w14:paraId="6B8BC17F" w14:textId="7AC108C6" w:rsidR="006808E9" w:rsidRDefault="00EA25CD" w:rsidP="003C15AB">
      <w:pPr>
        <w:pStyle w:val="ListParagraph"/>
        <w:numPr>
          <w:ilvl w:val="0"/>
          <w:numId w:val="40"/>
        </w:numPr>
        <w:autoSpaceDE w:val="0"/>
        <w:autoSpaceDN w:val="0"/>
        <w:adjustRightInd w:val="0"/>
        <w:spacing w:after="0" w:line="240" w:lineRule="auto"/>
        <w:rPr>
          <w:color w:val="000000"/>
        </w:rPr>
      </w:pPr>
      <w:r>
        <w:rPr>
          <w:color w:val="000000"/>
        </w:rPr>
        <w:t>C</w:t>
      </w:r>
      <w:r w:rsidR="006808E9">
        <w:rPr>
          <w:color w:val="000000"/>
        </w:rPr>
        <w:t>larify whether Bureaus should be tracking and reporting costs and benefits related only to formal ECCR cases (involving third-party neutral assistance) or all ‘environmental collaboration’ occurrences (DOI, USACE);</w:t>
      </w:r>
      <w:r w:rsidR="003643E3">
        <w:rPr>
          <w:color w:val="000000"/>
        </w:rPr>
        <w:t xml:space="preserve"> and</w:t>
      </w:r>
    </w:p>
    <w:p w14:paraId="544382C6" w14:textId="459939AC" w:rsidR="00261B68" w:rsidRDefault="00EA25CD" w:rsidP="003C15AB">
      <w:pPr>
        <w:pStyle w:val="ListParagraph"/>
        <w:numPr>
          <w:ilvl w:val="0"/>
          <w:numId w:val="40"/>
        </w:numPr>
        <w:autoSpaceDE w:val="0"/>
        <w:autoSpaceDN w:val="0"/>
        <w:adjustRightInd w:val="0"/>
        <w:spacing w:after="0" w:line="240" w:lineRule="auto"/>
        <w:rPr>
          <w:color w:val="000000"/>
        </w:rPr>
      </w:pPr>
      <w:r>
        <w:rPr>
          <w:color w:val="000000"/>
        </w:rPr>
        <w:lastRenderedPageBreak/>
        <w:t>I</w:t>
      </w:r>
      <w:r w:rsidR="00261B68">
        <w:rPr>
          <w:color w:val="000000"/>
        </w:rPr>
        <w:t>mplement OMB-approved evaluation instruments to assess and track short and long-term benefi</w:t>
      </w:r>
      <w:r w:rsidR="00DB02EE">
        <w:rPr>
          <w:color w:val="000000"/>
        </w:rPr>
        <w:t>ts of ECCR assistance (DOI)</w:t>
      </w:r>
      <w:r w:rsidR="003643E3">
        <w:rPr>
          <w:color w:val="000000"/>
        </w:rPr>
        <w:t>.</w:t>
      </w:r>
    </w:p>
    <w:bookmarkEnd w:id="3"/>
    <w:p w14:paraId="453FB077" w14:textId="34803AA7" w:rsidR="00DF2D58" w:rsidRDefault="00DF2D58" w:rsidP="003D6D15">
      <w:pPr>
        <w:autoSpaceDE w:val="0"/>
        <w:autoSpaceDN w:val="0"/>
        <w:adjustRightInd w:val="0"/>
        <w:spacing w:after="0" w:line="240" w:lineRule="auto"/>
        <w:rPr>
          <w:color w:val="000000"/>
        </w:rPr>
      </w:pPr>
    </w:p>
    <w:p w14:paraId="50D3F433" w14:textId="54E853A8" w:rsidR="00DB5EA5" w:rsidRPr="003D6D15" w:rsidRDefault="00A401C2" w:rsidP="003D6D15">
      <w:pPr>
        <w:autoSpaceDE w:val="0"/>
        <w:autoSpaceDN w:val="0"/>
        <w:adjustRightInd w:val="0"/>
        <w:spacing w:after="0" w:line="240" w:lineRule="auto"/>
        <w:rPr>
          <w:color w:val="000000"/>
        </w:rPr>
      </w:pPr>
      <w:proofErr w:type="gramStart"/>
      <w:r>
        <w:rPr>
          <w:color w:val="000000"/>
        </w:rPr>
        <w:t>Simil</w:t>
      </w:r>
      <w:r w:rsidR="003E1CA6">
        <w:rPr>
          <w:color w:val="000000"/>
        </w:rPr>
        <w:t>ar to</w:t>
      </w:r>
      <w:proofErr w:type="gramEnd"/>
      <w:r w:rsidR="003E1CA6">
        <w:rPr>
          <w:color w:val="000000"/>
        </w:rPr>
        <w:t xml:space="preserve"> previous years, in FY 2016</w:t>
      </w:r>
      <w:r>
        <w:rPr>
          <w:color w:val="000000"/>
        </w:rPr>
        <w:t xml:space="preserve"> agencies continued to point to the difficulties in tracking ECCR usage and quantifying costs and benefits as their greatest reporting challenges. </w:t>
      </w:r>
      <w:r w:rsidR="00DE2D0E">
        <w:rPr>
          <w:color w:val="000000"/>
        </w:rPr>
        <w:t>The following are e</w:t>
      </w:r>
      <w:r w:rsidR="00DB4665">
        <w:rPr>
          <w:color w:val="000000"/>
        </w:rPr>
        <w:t>xamples of reported c</w:t>
      </w:r>
      <w:r w:rsidR="003D6D15" w:rsidRPr="003D6D15">
        <w:rPr>
          <w:color w:val="000000"/>
        </w:rPr>
        <w:t>hallenges for departments and agencies with no formal</w:t>
      </w:r>
      <w:r w:rsidR="003D6D15" w:rsidRPr="003D6D15">
        <w:t xml:space="preserve"> methods of tracking and analyzing the costs and benefits/savings of ECCR processes</w:t>
      </w:r>
      <w:r w:rsidR="00DE2D0E">
        <w:t>:</w:t>
      </w:r>
    </w:p>
    <w:p w14:paraId="6E4C1759" w14:textId="77777777" w:rsidR="00DB5EA5" w:rsidRPr="003D6D15" w:rsidRDefault="00DB5EA5" w:rsidP="00DB4665">
      <w:pPr>
        <w:autoSpaceDE w:val="0"/>
        <w:autoSpaceDN w:val="0"/>
        <w:adjustRightInd w:val="0"/>
        <w:spacing w:after="0" w:line="240" w:lineRule="auto"/>
        <w:rPr>
          <w:color w:val="000000"/>
        </w:rPr>
      </w:pPr>
    </w:p>
    <w:p w14:paraId="518FABD3" w14:textId="77777777" w:rsidR="00B705E8" w:rsidRDefault="00B705E8" w:rsidP="00B705E8">
      <w:pPr>
        <w:pStyle w:val="ListParagraph2"/>
        <w:spacing w:after="0" w:line="240" w:lineRule="auto"/>
      </w:pPr>
      <w:r w:rsidRPr="003D6D15">
        <w:t xml:space="preserve">Development of formal mechanisms to collect and report on quantifiable benefits and/or costs savings of ECCR </w:t>
      </w:r>
      <w:r>
        <w:t xml:space="preserve">may </w:t>
      </w:r>
      <w:r w:rsidRPr="003D6D15">
        <w:t xml:space="preserve">require </w:t>
      </w:r>
      <w:r>
        <w:t xml:space="preserve">significant investments of </w:t>
      </w:r>
      <w:r w:rsidRPr="003D6D15">
        <w:t xml:space="preserve">agency time </w:t>
      </w:r>
      <w:r>
        <w:t>and resources.</w:t>
      </w:r>
    </w:p>
    <w:p w14:paraId="31254C75" w14:textId="5570405E" w:rsidR="00054BB1" w:rsidRDefault="00054BB1" w:rsidP="00DB4665">
      <w:pPr>
        <w:pStyle w:val="ListParagraph2"/>
        <w:spacing w:after="0" w:line="240" w:lineRule="auto"/>
      </w:pPr>
      <w:r w:rsidRPr="003D6D15">
        <w:t>ECCR is</w:t>
      </w:r>
      <w:r w:rsidR="00DB4665">
        <w:t xml:space="preserve"> often</w:t>
      </w:r>
      <w:r w:rsidRPr="003D6D15">
        <w:t xml:space="preserve"> integrated into department and agency programs</w:t>
      </w:r>
      <w:r w:rsidR="00DB4665">
        <w:t>, resulting in challenges with separating ECCR investm</w:t>
      </w:r>
      <w:r w:rsidR="003615EF">
        <w:t>ents from general project costs.</w:t>
      </w:r>
      <w:r w:rsidR="00DB4665">
        <w:t xml:space="preserve">  </w:t>
      </w:r>
    </w:p>
    <w:p w14:paraId="6A3B6345" w14:textId="77777777" w:rsidR="00B705E8" w:rsidRDefault="00B705E8" w:rsidP="00B705E8">
      <w:pPr>
        <w:pStyle w:val="ListParagraph2"/>
        <w:spacing w:after="0" w:line="240" w:lineRule="auto"/>
      </w:pPr>
      <w:r>
        <w:t>Given that ECCR benefits are often intangible, indirect, or subjective, they can be difficult to track and quantify.</w:t>
      </w:r>
    </w:p>
    <w:p w14:paraId="1652CD27" w14:textId="7C1E2C01" w:rsidR="00B705E8" w:rsidRPr="003D6D15" w:rsidRDefault="00B705E8" w:rsidP="00B705E8">
      <w:pPr>
        <w:pStyle w:val="ListParagraph2"/>
        <w:spacing w:after="0" w:line="240" w:lineRule="auto"/>
      </w:pPr>
      <w:r>
        <w:t>In the absence of a centralized data collection system for ECCR cases, ECCR usage may be underreported.</w:t>
      </w:r>
    </w:p>
    <w:p w14:paraId="01836D84" w14:textId="03379012" w:rsidR="003D6D15" w:rsidRDefault="00F74C78" w:rsidP="00DB4665">
      <w:pPr>
        <w:pStyle w:val="ListParagraph2"/>
        <w:spacing w:after="0" w:line="240" w:lineRule="auto"/>
      </w:pPr>
      <w:r>
        <w:t>It is difficult to compare the</w:t>
      </w:r>
      <w:r w:rsidR="003D6D15">
        <w:t xml:space="preserve"> resource costs of ECCR vs</w:t>
      </w:r>
      <w:r w:rsidR="003904D2">
        <w:t>.</w:t>
      </w:r>
      <w:r w:rsidR="003D6D15">
        <w:t xml:space="preserve"> non-ECCR processes due to the nature and complexity of different disputes</w:t>
      </w:r>
      <w:r w:rsidR="003904D2">
        <w:t>.</w:t>
      </w:r>
    </w:p>
    <w:p w14:paraId="2A0D090B" w14:textId="1E3585EB" w:rsidR="003D6D15" w:rsidRDefault="003D6D15" w:rsidP="00DB4665">
      <w:pPr>
        <w:pStyle w:val="ListParagraph2"/>
        <w:spacing w:after="0" w:line="240" w:lineRule="auto"/>
      </w:pPr>
      <w:r>
        <w:t>Without clear standards and criteria, reporting of benef</w:t>
      </w:r>
      <w:r w:rsidR="00DB4665">
        <w:t xml:space="preserve">its and costs </w:t>
      </w:r>
      <w:r w:rsidR="006F39A3">
        <w:t xml:space="preserve">may be </w:t>
      </w:r>
      <w:r w:rsidR="00DB4665">
        <w:t>subjective and varies among</w:t>
      </w:r>
      <w:r>
        <w:t xml:space="preserve"> respondents</w:t>
      </w:r>
      <w:r w:rsidR="003904D2">
        <w:t>.</w:t>
      </w:r>
    </w:p>
    <w:p w14:paraId="7664425E" w14:textId="476456F5" w:rsidR="004422D4" w:rsidRDefault="004422D4" w:rsidP="004422D4">
      <w:pPr>
        <w:autoSpaceDE w:val="0"/>
        <w:autoSpaceDN w:val="0"/>
        <w:adjustRightInd w:val="0"/>
        <w:spacing w:after="0" w:line="240" w:lineRule="auto"/>
      </w:pPr>
    </w:p>
    <w:p w14:paraId="678B8967" w14:textId="2D914995" w:rsidR="004422D4" w:rsidRDefault="004422D4" w:rsidP="004422D4">
      <w:pPr>
        <w:autoSpaceDE w:val="0"/>
        <w:autoSpaceDN w:val="0"/>
        <w:adjustRightInd w:val="0"/>
        <w:spacing w:after="0" w:line="240" w:lineRule="auto"/>
      </w:pPr>
      <w:r>
        <w:t>Despite these challenges, agencies recognize the importance of tracking and reporting ECCR usage and outcomes. Accordingly, several participating agencies have been working to develop an improved evaluation instrument that seeks to respond to the data collection challen</w:t>
      </w:r>
      <w:r w:rsidR="00DE54C6">
        <w:t xml:space="preserve">ges and provide users with a more reliable method of capturing the costs and benefits of ECCR processes, with the </w:t>
      </w:r>
      <w:proofErr w:type="gramStart"/>
      <w:r w:rsidR="00DE54C6">
        <w:t>ultimate goal</w:t>
      </w:r>
      <w:proofErr w:type="gramEnd"/>
      <w:r w:rsidR="00DE54C6">
        <w:t xml:space="preserve"> of better demonstrating the value of ECCR to federal agencies.</w:t>
      </w:r>
    </w:p>
    <w:p w14:paraId="26780DF7" w14:textId="77777777" w:rsidR="00DB5EA5" w:rsidRPr="003D6D15" w:rsidRDefault="00DB5EA5" w:rsidP="005C70E2">
      <w:pPr>
        <w:autoSpaceDE w:val="0"/>
        <w:autoSpaceDN w:val="0"/>
        <w:adjustRightInd w:val="0"/>
        <w:spacing w:after="0" w:line="240" w:lineRule="auto"/>
        <w:rPr>
          <w:color w:val="000000"/>
        </w:rPr>
      </w:pPr>
    </w:p>
    <w:p w14:paraId="3F37F6C5" w14:textId="10F1641D" w:rsidR="00C82B2E" w:rsidRPr="00D66896" w:rsidRDefault="00DB5EA5" w:rsidP="00F06D7A">
      <w:pPr>
        <w:pBdr>
          <w:top w:val="single" w:sz="4" w:space="1" w:color="auto"/>
        </w:pBdr>
        <w:autoSpaceDE w:val="0"/>
        <w:autoSpaceDN w:val="0"/>
        <w:adjustRightInd w:val="0"/>
        <w:spacing w:after="0" w:line="240" w:lineRule="auto"/>
        <w:rPr>
          <w:rFonts w:cstheme="minorHAnsi"/>
          <w:color w:val="000000"/>
          <w:sz w:val="20"/>
        </w:rPr>
      </w:pPr>
      <w:r w:rsidRPr="00D66896">
        <w:rPr>
          <w:rFonts w:cstheme="minorHAnsi"/>
          <w:color w:val="000000"/>
          <w:sz w:val="20"/>
        </w:rPr>
        <w:t xml:space="preserve">This synthesis was developed by the </w:t>
      </w:r>
      <w:r w:rsidR="00E8179D" w:rsidRPr="00D66896">
        <w:rPr>
          <w:rFonts w:cstheme="minorHAnsi"/>
          <w:color w:val="000000"/>
          <w:sz w:val="20"/>
        </w:rPr>
        <w:t xml:space="preserve">Udall Foundation’s </w:t>
      </w:r>
      <w:r w:rsidRPr="00D66896">
        <w:rPr>
          <w:rFonts w:cstheme="minorHAnsi"/>
          <w:color w:val="000000"/>
          <w:sz w:val="20"/>
        </w:rPr>
        <w:t>U.S. Institute for Environmental Conflict Resolution on behalf of OMB and CEQ.</w:t>
      </w:r>
    </w:p>
    <w:p w14:paraId="179A5D04" w14:textId="296B8FE3" w:rsidR="004766FB" w:rsidRDefault="004766FB" w:rsidP="00F06D7A">
      <w:pPr>
        <w:pBdr>
          <w:top w:val="single" w:sz="4" w:space="1" w:color="auto"/>
        </w:pBdr>
        <w:autoSpaceDE w:val="0"/>
        <w:autoSpaceDN w:val="0"/>
        <w:adjustRightInd w:val="0"/>
        <w:spacing w:after="0" w:line="240" w:lineRule="auto"/>
        <w:rPr>
          <w:rFonts w:ascii="Ebrima" w:hAnsi="Ebrima"/>
          <w:color w:val="000000"/>
          <w:sz w:val="20"/>
        </w:rPr>
      </w:pPr>
    </w:p>
    <w:p w14:paraId="1E7BC6D1" w14:textId="475EF489" w:rsidR="004766FB" w:rsidRDefault="004766FB">
      <w:pPr>
        <w:rPr>
          <w:rFonts w:ascii="Ebrima" w:hAnsi="Ebrima"/>
          <w:color w:val="000000"/>
          <w:sz w:val="20"/>
        </w:rPr>
      </w:pPr>
      <w:r>
        <w:rPr>
          <w:rFonts w:ascii="Ebrima" w:hAnsi="Ebrima"/>
          <w:color w:val="000000"/>
          <w:sz w:val="20"/>
        </w:rPr>
        <w:br w:type="page"/>
      </w:r>
    </w:p>
    <w:p w14:paraId="6FA08CF7" w14:textId="2C553FD0" w:rsidR="009A6217" w:rsidRPr="009A6217" w:rsidRDefault="009A6217" w:rsidP="009A6217">
      <w:pPr>
        <w:pStyle w:val="Header"/>
        <w:ind w:left="-360"/>
        <w:jc w:val="center"/>
        <w:rPr>
          <w:b/>
          <w:sz w:val="28"/>
          <w:szCs w:val="28"/>
        </w:rPr>
      </w:pPr>
      <w:r w:rsidRPr="009A6217">
        <w:rPr>
          <w:b/>
          <w:sz w:val="28"/>
          <w:szCs w:val="28"/>
        </w:rPr>
        <w:lastRenderedPageBreak/>
        <w:t>Appendix A:  TRENDS IN THE FEDERAL GOVERNMENT REPORTING ON USE OF ECCR</w:t>
      </w:r>
    </w:p>
    <w:p w14:paraId="3DF0365E" w14:textId="77777777" w:rsidR="009A6217" w:rsidRPr="009A6217" w:rsidRDefault="009A6217" w:rsidP="009A6217">
      <w:pPr>
        <w:rPr>
          <w:rFonts w:eastAsiaTheme="minorHAnsi"/>
          <w:b/>
          <w:u w:val="single"/>
        </w:rPr>
      </w:pPr>
    </w:p>
    <w:p w14:paraId="4362861F" w14:textId="1B451D52" w:rsidR="009A6217" w:rsidRPr="009A6217" w:rsidRDefault="009A6217" w:rsidP="009A6217">
      <w:pPr>
        <w:ind w:left="-540"/>
        <w:rPr>
          <w:rFonts w:eastAsiaTheme="minorHAnsi"/>
          <w:b/>
          <w:u w:val="single"/>
        </w:rPr>
      </w:pPr>
      <w:r w:rsidRPr="009A6217">
        <w:rPr>
          <w:rFonts w:eastAsiaTheme="minorHAnsi"/>
          <w:b/>
          <w:u w:val="single"/>
        </w:rPr>
        <w:t xml:space="preserve">Submitting Agencies by Fiscal Year </w:t>
      </w:r>
    </w:p>
    <w:tbl>
      <w:tblPr>
        <w:tblpPr w:leftFromText="180" w:rightFromText="180" w:vertAnchor="text" w:horzAnchor="page" w:tblpX="816" w:tblpY="3936"/>
        <w:tblW w:w="10536" w:type="dxa"/>
        <w:tblLayout w:type="fixed"/>
        <w:tblLook w:val="04A0" w:firstRow="1" w:lastRow="0" w:firstColumn="1" w:lastColumn="0" w:noHBand="0" w:noVBand="1"/>
      </w:tblPr>
      <w:tblGrid>
        <w:gridCol w:w="5210"/>
        <w:gridCol w:w="476"/>
        <w:gridCol w:w="482"/>
        <w:gridCol w:w="489"/>
        <w:gridCol w:w="489"/>
        <w:gridCol w:w="489"/>
        <w:gridCol w:w="489"/>
        <w:gridCol w:w="489"/>
        <w:gridCol w:w="489"/>
        <w:gridCol w:w="482"/>
        <w:gridCol w:w="476"/>
        <w:gridCol w:w="476"/>
      </w:tblGrid>
      <w:tr w:rsidR="009A6217" w:rsidRPr="009A6217" w14:paraId="321FEF31" w14:textId="77777777" w:rsidTr="005D6E8C">
        <w:trPr>
          <w:trHeight w:val="298"/>
        </w:trPr>
        <w:tc>
          <w:tcPr>
            <w:tcW w:w="52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C0222A" w14:textId="3E1A8AA8" w:rsidR="009A6217" w:rsidRPr="005D6E8C" w:rsidRDefault="005D6E8C" w:rsidP="005D6E8C">
            <w:pPr>
              <w:spacing w:after="0" w:line="240" w:lineRule="auto"/>
              <w:jc w:val="center"/>
              <w:rPr>
                <w:rFonts w:ascii="Calibri" w:eastAsia="Times New Roman" w:hAnsi="Calibri" w:cs="Times New Roman"/>
                <w:b/>
                <w:bCs/>
                <w:color w:val="000000"/>
                <w:u w:val="single"/>
              </w:rPr>
            </w:pPr>
            <w:r w:rsidRPr="005D6E8C">
              <w:rPr>
                <w:rFonts w:ascii="Calibri" w:eastAsia="Times New Roman" w:hAnsi="Calibri" w:cs="Times New Roman"/>
                <w:b/>
                <w:bCs/>
                <w:color w:val="000000"/>
                <w:u w:val="single"/>
              </w:rPr>
              <w:t>TABLE 1</w:t>
            </w:r>
          </w:p>
        </w:tc>
        <w:tc>
          <w:tcPr>
            <w:tcW w:w="476" w:type="dxa"/>
            <w:tcBorders>
              <w:top w:val="single" w:sz="8" w:space="0" w:color="auto"/>
              <w:left w:val="nil"/>
              <w:bottom w:val="single" w:sz="8" w:space="0" w:color="auto"/>
              <w:right w:val="single" w:sz="8" w:space="0" w:color="auto"/>
            </w:tcBorders>
            <w:shd w:val="clear" w:color="auto" w:fill="auto"/>
            <w:vAlign w:val="center"/>
            <w:hideMark/>
          </w:tcPr>
          <w:p w14:paraId="26EB6300" w14:textId="77777777" w:rsidR="009A6217" w:rsidRPr="009A6217" w:rsidRDefault="009A6217" w:rsidP="005D6E8C">
            <w:pPr>
              <w:spacing w:after="0" w:line="240" w:lineRule="auto"/>
              <w:jc w:val="center"/>
              <w:rPr>
                <w:rFonts w:ascii="Calibri" w:eastAsia="Times New Roman" w:hAnsi="Calibri" w:cs="Times New Roman"/>
                <w:b/>
                <w:bCs/>
                <w:color w:val="000000"/>
              </w:rPr>
            </w:pPr>
            <w:r w:rsidRPr="009A6217">
              <w:rPr>
                <w:rFonts w:ascii="Calibri" w:eastAsia="Times New Roman" w:hAnsi="Calibri" w:cs="Times New Roman"/>
                <w:b/>
                <w:bCs/>
                <w:color w:val="000000"/>
              </w:rPr>
              <w:t>FY 06</w:t>
            </w:r>
          </w:p>
        </w:tc>
        <w:tc>
          <w:tcPr>
            <w:tcW w:w="482" w:type="dxa"/>
            <w:tcBorders>
              <w:top w:val="single" w:sz="8" w:space="0" w:color="auto"/>
              <w:left w:val="nil"/>
              <w:bottom w:val="single" w:sz="8" w:space="0" w:color="auto"/>
              <w:right w:val="single" w:sz="8" w:space="0" w:color="auto"/>
            </w:tcBorders>
            <w:shd w:val="clear" w:color="auto" w:fill="auto"/>
            <w:vAlign w:val="center"/>
            <w:hideMark/>
          </w:tcPr>
          <w:p w14:paraId="2F41C441" w14:textId="77777777" w:rsidR="009A6217" w:rsidRPr="009A6217" w:rsidRDefault="009A6217" w:rsidP="005D6E8C">
            <w:pPr>
              <w:spacing w:after="0" w:line="240" w:lineRule="auto"/>
              <w:jc w:val="center"/>
              <w:rPr>
                <w:rFonts w:ascii="Calibri" w:eastAsia="Times New Roman" w:hAnsi="Calibri" w:cs="Times New Roman"/>
                <w:b/>
                <w:bCs/>
                <w:color w:val="000000"/>
              </w:rPr>
            </w:pPr>
            <w:r w:rsidRPr="009A6217">
              <w:rPr>
                <w:rFonts w:ascii="Calibri" w:eastAsia="Times New Roman" w:hAnsi="Calibri" w:cs="Times New Roman"/>
                <w:b/>
                <w:bCs/>
                <w:color w:val="000000"/>
              </w:rPr>
              <w:t>FY 07</w:t>
            </w:r>
          </w:p>
        </w:tc>
        <w:tc>
          <w:tcPr>
            <w:tcW w:w="489" w:type="dxa"/>
            <w:tcBorders>
              <w:top w:val="single" w:sz="8" w:space="0" w:color="auto"/>
              <w:left w:val="nil"/>
              <w:bottom w:val="single" w:sz="8" w:space="0" w:color="auto"/>
              <w:right w:val="single" w:sz="8" w:space="0" w:color="auto"/>
            </w:tcBorders>
            <w:shd w:val="clear" w:color="auto" w:fill="auto"/>
            <w:vAlign w:val="center"/>
            <w:hideMark/>
          </w:tcPr>
          <w:p w14:paraId="0912AF82" w14:textId="77777777" w:rsidR="009A6217" w:rsidRPr="009A6217" w:rsidRDefault="009A6217" w:rsidP="005D6E8C">
            <w:pPr>
              <w:spacing w:after="0" w:line="240" w:lineRule="auto"/>
              <w:jc w:val="center"/>
              <w:rPr>
                <w:rFonts w:ascii="Calibri" w:eastAsia="Times New Roman" w:hAnsi="Calibri" w:cs="Times New Roman"/>
                <w:b/>
                <w:bCs/>
                <w:color w:val="000000"/>
              </w:rPr>
            </w:pPr>
            <w:r w:rsidRPr="009A6217">
              <w:rPr>
                <w:rFonts w:ascii="Calibri" w:eastAsia="Times New Roman" w:hAnsi="Calibri" w:cs="Times New Roman"/>
                <w:b/>
                <w:bCs/>
                <w:color w:val="000000"/>
              </w:rPr>
              <w:t>FY 08</w:t>
            </w:r>
          </w:p>
        </w:tc>
        <w:tc>
          <w:tcPr>
            <w:tcW w:w="489" w:type="dxa"/>
            <w:tcBorders>
              <w:top w:val="single" w:sz="8" w:space="0" w:color="auto"/>
              <w:left w:val="nil"/>
              <w:bottom w:val="single" w:sz="8" w:space="0" w:color="auto"/>
              <w:right w:val="single" w:sz="8" w:space="0" w:color="auto"/>
            </w:tcBorders>
            <w:shd w:val="clear" w:color="auto" w:fill="auto"/>
            <w:vAlign w:val="center"/>
            <w:hideMark/>
          </w:tcPr>
          <w:p w14:paraId="2CE3C30D" w14:textId="77777777" w:rsidR="009A6217" w:rsidRPr="009A6217" w:rsidRDefault="009A6217" w:rsidP="005D6E8C">
            <w:pPr>
              <w:spacing w:after="0" w:line="240" w:lineRule="auto"/>
              <w:jc w:val="center"/>
              <w:rPr>
                <w:rFonts w:ascii="Calibri" w:eastAsia="Times New Roman" w:hAnsi="Calibri" w:cs="Times New Roman"/>
                <w:b/>
                <w:bCs/>
                <w:color w:val="000000"/>
              </w:rPr>
            </w:pPr>
            <w:r w:rsidRPr="009A6217">
              <w:rPr>
                <w:rFonts w:ascii="Calibri" w:eastAsia="Times New Roman" w:hAnsi="Calibri" w:cs="Times New Roman"/>
                <w:b/>
                <w:bCs/>
                <w:color w:val="000000"/>
              </w:rPr>
              <w:t>FY 09</w:t>
            </w:r>
          </w:p>
        </w:tc>
        <w:tc>
          <w:tcPr>
            <w:tcW w:w="489" w:type="dxa"/>
            <w:tcBorders>
              <w:top w:val="single" w:sz="8" w:space="0" w:color="auto"/>
              <w:left w:val="nil"/>
              <w:bottom w:val="single" w:sz="8" w:space="0" w:color="auto"/>
              <w:right w:val="single" w:sz="8" w:space="0" w:color="auto"/>
            </w:tcBorders>
            <w:shd w:val="clear" w:color="auto" w:fill="auto"/>
            <w:vAlign w:val="center"/>
            <w:hideMark/>
          </w:tcPr>
          <w:p w14:paraId="38BEA5BC" w14:textId="77777777" w:rsidR="009A6217" w:rsidRPr="009A6217" w:rsidRDefault="009A6217" w:rsidP="005D6E8C">
            <w:pPr>
              <w:spacing w:after="0" w:line="240" w:lineRule="auto"/>
              <w:jc w:val="center"/>
              <w:rPr>
                <w:rFonts w:ascii="Calibri" w:eastAsia="Times New Roman" w:hAnsi="Calibri" w:cs="Times New Roman"/>
                <w:b/>
                <w:bCs/>
                <w:color w:val="000000"/>
              </w:rPr>
            </w:pPr>
            <w:r w:rsidRPr="009A6217">
              <w:rPr>
                <w:rFonts w:ascii="Calibri" w:eastAsia="Times New Roman" w:hAnsi="Calibri" w:cs="Times New Roman"/>
                <w:b/>
                <w:bCs/>
                <w:color w:val="000000"/>
              </w:rPr>
              <w:t>FY 10</w:t>
            </w:r>
          </w:p>
        </w:tc>
        <w:tc>
          <w:tcPr>
            <w:tcW w:w="489" w:type="dxa"/>
            <w:tcBorders>
              <w:top w:val="single" w:sz="8" w:space="0" w:color="auto"/>
              <w:left w:val="nil"/>
              <w:bottom w:val="single" w:sz="8" w:space="0" w:color="auto"/>
              <w:right w:val="single" w:sz="8" w:space="0" w:color="auto"/>
            </w:tcBorders>
            <w:shd w:val="clear" w:color="auto" w:fill="auto"/>
            <w:vAlign w:val="center"/>
            <w:hideMark/>
          </w:tcPr>
          <w:p w14:paraId="04E8F93D" w14:textId="77777777" w:rsidR="009A6217" w:rsidRPr="009A6217" w:rsidRDefault="009A6217" w:rsidP="005D6E8C">
            <w:pPr>
              <w:spacing w:after="0" w:line="240" w:lineRule="auto"/>
              <w:jc w:val="center"/>
              <w:rPr>
                <w:rFonts w:ascii="Calibri" w:eastAsia="Times New Roman" w:hAnsi="Calibri" w:cs="Times New Roman"/>
                <w:b/>
                <w:bCs/>
                <w:color w:val="000000"/>
              </w:rPr>
            </w:pPr>
            <w:r w:rsidRPr="009A6217">
              <w:rPr>
                <w:rFonts w:ascii="Calibri" w:eastAsia="Times New Roman" w:hAnsi="Calibri" w:cs="Times New Roman"/>
                <w:b/>
                <w:bCs/>
                <w:color w:val="000000"/>
              </w:rPr>
              <w:t>FY 11</w:t>
            </w:r>
          </w:p>
        </w:tc>
        <w:tc>
          <w:tcPr>
            <w:tcW w:w="489" w:type="dxa"/>
            <w:tcBorders>
              <w:top w:val="single" w:sz="8" w:space="0" w:color="auto"/>
              <w:left w:val="nil"/>
              <w:bottom w:val="single" w:sz="8" w:space="0" w:color="auto"/>
              <w:right w:val="single" w:sz="8" w:space="0" w:color="auto"/>
            </w:tcBorders>
            <w:shd w:val="clear" w:color="auto" w:fill="auto"/>
            <w:vAlign w:val="center"/>
            <w:hideMark/>
          </w:tcPr>
          <w:p w14:paraId="78AE47C3" w14:textId="77777777" w:rsidR="009A6217" w:rsidRPr="009A6217" w:rsidRDefault="009A6217" w:rsidP="005D6E8C">
            <w:pPr>
              <w:spacing w:after="0" w:line="240" w:lineRule="auto"/>
              <w:jc w:val="center"/>
              <w:rPr>
                <w:rFonts w:ascii="Calibri" w:eastAsia="Times New Roman" w:hAnsi="Calibri" w:cs="Times New Roman"/>
                <w:b/>
                <w:bCs/>
                <w:color w:val="000000"/>
              </w:rPr>
            </w:pPr>
            <w:r w:rsidRPr="009A6217">
              <w:rPr>
                <w:rFonts w:ascii="Calibri" w:eastAsia="Times New Roman" w:hAnsi="Calibri" w:cs="Times New Roman"/>
                <w:b/>
                <w:bCs/>
                <w:color w:val="000000"/>
              </w:rPr>
              <w:t>FY 12</w:t>
            </w:r>
          </w:p>
        </w:tc>
        <w:tc>
          <w:tcPr>
            <w:tcW w:w="489" w:type="dxa"/>
            <w:tcBorders>
              <w:top w:val="single" w:sz="8" w:space="0" w:color="auto"/>
              <w:left w:val="nil"/>
              <w:bottom w:val="single" w:sz="8" w:space="0" w:color="auto"/>
              <w:right w:val="single" w:sz="8" w:space="0" w:color="auto"/>
            </w:tcBorders>
            <w:shd w:val="clear" w:color="auto" w:fill="auto"/>
            <w:vAlign w:val="center"/>
            <w:hideMark/>
          </w:tcPr>
          <w:p w14:paraId="5104034B" w14:textId="77777777" w:rsidR="009A6217" w:rsidRPr="009A6217" w:rsidRDefault="009A6217" w:rsidP="005D6E8C">
            <w:pPr>
              <w:spacing w:after="0" w:line="240" w:lineRule="auto"/>
              <w:jc w:val="center"/>
              <w:rPr>
                <w:rFonts w:ascii="Calibri" w:eastAsia="Times New Roman" w:hAnsi="Calibri" w:cs="Times New Roman"/>
                <w:b/>
                <w:bCs/>
                <w:color w:val="000000"/>
              </w:rPr>
            </w:pPr>
            <w:r w:rsidRPr="009A6217">
              <w:rPr>
                <w:rFonts w:ascii="Calibri" w:eastAsia="Times New Roman" w:hAnsi="Calibri" w:cs="Times New Roman"/>
                <w:b/>
                <w:bCs/>
                <w:color w:val="000000"/>
              </w:rPr>
              <w:t>FY 13</w:t>
            </w:r>
          </w:p>
        </w:tc>
        <w:tc>
          <w:tcPr>
            <w:tcW w:w="482" w:type="dxa"/>
            <w:tcBorders>
              <w:top w:val="single" w:sz="8" w:space="0" w:color="auto"/>
              <w:left w:val="nil"/>
              <w:bottom w:val="single" w:sz="8" w:space="0" w:color="auto"/>
              <w:right w:val="single" w:sz="8" w:space="0" w:color="auto"/>
            </w:tcBorders>
            <w:shd w:val="clear" w:color="auto" w:fill="auto"/>
            <w:vAlign w:val="center"/>
            <w:hideMark/>
          </w:tcPr>
          <w:p w14:paraId="21FF2D0A" w14:textId="77777777" w:rsidR="009A6217" w:rsidRPr="009A6217" w:rsidRDefault="009A6217" w:rsidP="005D6E8C">
            <w:pPr>
              <w:spacing w:after="0" w:line="240" w:lineRule="auto"/>
              <w:jc w:val="center"/>
              <w:rPr>
                <w:rFonts w:ascii="Calibri" w:eastAsia="Times New Roman" w:hAnsi="Calibri" w:cs="Times New Roman"/>
                <w:b/>
                <w:bCs/>
                <w:color w:val="000000"/>
              </w:rPr>
            </w:pPr>
            <w:r w:rsidRPr="009A6217">
              <w:rPr>
                <w:rFonts w:ascii="Calibri" w:eastAsia="Times New Roman" w:hAnsi="Calibri" w:cs="Times New Roman"/>
                <w:b/>
                <w:bCs/>
                <w:color w:val="000000"/>
              </w:rPr>
              <w:t>FY 14</w:t>
            </w:r>
          </w:p>
        </w:tc>
        <w:tc>
          <w:tcPr>
            <w:tcW w:w="476" w:type="dxa"/>
            <w:tcBorders>
              <w:top w:val="single" w:sz="8" w:space="0" w:color="auto"/>
              <w:left w:val="nil"/>
              <w:bottom w:val="single" w:sz="8" w:space="0" w:color="auto"/>
              <w:right w:val="single" w:sz="8" w:space="0" w:color="auto"/>
            </w:tcBorders>
            <w:shd w:val="clear" w:color="auto" w:fill="auto"/>
            <w:vAlign w:val="center"/>
            <w:hideMark/>
          </w:tcPr>
          <w:p w14:paraId="556F9579" w14:textId="77777777" w:rsidR="009A6217" w:rsidRPr="009A6217" w:rsidRDefault="009A6217" w:rsidP="005D6E8C">
            <w:pPr>
              <w:spacing w:after="0" w:line="240" w:lineRule="auto"/>
              <w:jc w:val="center"/>
              <w:rPr>
                <w:rFonts w:ascii="Calibri" w:eastAsia="Times New Roman" w:hAnsi="Calibri" w:cs="Times New Roman"/>
                <w:b/>
                <w:bCs/>
                <w:color w:val="000000"/>
              </w:rPr>
            </w:pPr>
            <w:r w:rsidRPr="009A6217">
              <w:rPr>
                <w:rFonts w:ascii="Calibri" w:eastAsia="Times New Roman" w:hAnsi="Calibri" w:cs="Times New Roman"/>
                <w:b/>
                <w:bCs/>
                <w:color w:val="000000"/>
              </w:rPr>
              <w:t>FY 15</w:t>
            </w:r>
          </w:p>
        </w:tc>
        <w:tc>
          <w:tcPr>
            <w:tcW w:w="476" w:type="dxa"/>
            <w:tcBorders>
              <w:top w:val="single" w:sz="8" w:space="0" w:color="auto"/>
              <w:left w:val="nil"/>
              <w:bottom w:val="single" w:sz="8" w:space="0" w:color="auto"/>
              <w:right w:val="single" w:sz="8" w:space="0" w:color="auto"/>
            </w:tcBorders>
            <w:shd w:val="clear" w:color="auto" w:fill="auto"/>
            <w:vAlign w:val="center"/>
            <w:hideMark/>
          </w:tcPr>
          <w:p w14:paraId="34C62FAE" w14:textId="77777777" w:rsidR="009A6217" w:rsidRPr="009A6217" w:rsidRDefault="009A6217" w:rsidP="005D6E8C">
            <w:pPr>
              <w:spacing w:after="0" w:line="240" w:lineRule="auto"/>
              <w:jc w:val="center"/>
              <w:rPr>
                <w:rFonts w:ascii="Calibri" w:eastAsia="Times New Roman" w:hAnsi="Calibri" w:cs="Times New Roman"/>
                <w:b/>
                <w:bCs/>
                <w:color w:val="000000"/>
              </w:rPr>
            </w:pPr>
            <w:r w:rsidRPr="009A6217">
              <w:rPr>
                <w:rFonts w:ascii="Calibri" w:eastAsia="Times New Roman" w:hAnsi="Calibri" w:cs="Times New Roman"/>
                <w:b/>
                <w:bCs/>
                <w:color w:val="000000"/>
              </w:rPr>
              <w:t>FY 16</w:t>
            </w:r>
          </w:p>
        </w:tc>
      </w:tr>
      <w:tr w:rsidR="009A6217" w:rsidRPr="009A6217" w14:paraId="6D14E27A" w14:textId="77777777" w:rsidTr="005D6E8C">
        <w:trPr>
          <w:trHeight w:val="29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0E28017F" w14:textId="77777777" w:rsidR="009A6217" w:rsidRPr="009A6217" w:rsidRDefault="009A6217" w:rsidP="005D6E8C">
            <w:pPr>
              <w:spacing w:after="0" w:line="240" w:lineRule="auto"/>
              <w:rPr>
                <w:rFonts w:ascii="Calibri" w:eastAsia="Times New Roman" w:hAnsi="Calibri" w:cs="Times New Roman"/>
                <w:color w:val="000000"/>
              </w:rPr>
            </w:pPr>
            <w:r w:rsidRPr="009A6217">
              <w:rPr>
                <w:rFonts w:ascii="Calibri" w:eastAsia="Times New Roman" w:hAnsi="Calibri" w:cs="Times New Roman"/>
                <w:color w:val="000000"/>
              </w:rPr>
              <w:t>USDA Forest Service</w:t>
            </w:r>
          </w:p>
        </w:tc>
        <w:tc>
          <w:tcPr>
            <w:tcW w:w="476" w:type="dxa"/>
            <w:tcBorders>
              <w:top w:val="nil"/>
              <w:left w:val="nil"/>
              <w:bottom w:val="single" w:sz="8" w:space="0" w:color="auto"/>
              <w:right w:val="single" w:sz="8" w:space="0" w:color="auto"/>
            </w:tcBorders>
            <w:shd w:val="clear" w:color="auto" w:fill="404040"/>
            <w:vAlign w:val="center"/>
            <w:hideMark/>
          </w:tcPr>
          <w:p w14:paraId="2FCE1EAF" w14:textId="77777777" w:rsidR="009A6217" w:rsidRPr="006F39A3" w:rsidRDefault="009A6217" w:rsidP="005D6E8C">
            <w:pPr>
              <w:spacing w:after="0" w:line="240" w:lineRule="auto"/>
              <w:jc w:val="center"/>
              <w:rPr>
                <w:rFonts w:ascii="Calibri" w:eastAsia="Times New Roman" w:hAnsi="Calibri" w:cs="Times New Roman"/>
                <w:color w:val="404040"/>
              </w:rPr>
            </w:pPr>
            <w:r w:rsidRPr="006F39A3">
              <w:rPr>
                <w:rFonts w:ascii="Calibri" w:eastAsia="Times New Roman" w:hAnsi="Calibri" w:cs="Times New Roman"/>
                <w:color w:val="404040"/>
              </w:rPr>
              <w:t> </w:t>
            </w:r>
          </w:p>
        </w:tc>
        <w:tc>
          <w:tcPr>
            <w:tcW w:w="482" w:type="dxa"/>
            <w:tcBorders>
              <w:top w:val="nil"/>
              <w:left w:val="nil"/>
              <w:bottom w:val="single" w:sz="8" w:space="0" w:color="auto"/>
              <w:right w:val="single" w:sz="8" w:space="0" w:color="auto"/>
            </w:tcBorders>
            <w:shd w:val="clear" w:color="auto" w:fill="404040"/>
            <w:vAlign w:val="center"/>
            <w:hideMark/>
          </w:tcPr>
          <w:p w14:paraId="117BE63C" w14:textId="77777777" w:rsidR="009A6217" w:rsidRPr="006F39A3" w:rsidRDefault="009A6217" w:rsidP="005D6E8C">
            <w:pPr>
              <w:spacing w:after="0" w:line="240" w:lineRule="auto"/>
              <w:jc w:val="center"/>
              <w:rPr>
                <w:rFonts w:ascii="Calibri" w:eastAsia="Times New Roman" w:hAnsi="Calibri" w:cs="Times New Roman"/>
                <w:color w:val="404040"/>
              </w:rPr>
            </w:pPr>
            <w:r w:rsidRPr="006F39A3">
              <w:rPr>
                <w:rFonts w:ascii="Calibri" w:eastAsia="Times New Roman" w:hAnsi="Calibri" w:cs="Times New Roman"/>
                <w:color w:val="404040"/>
              </w:rPr>
              <w:t> </w:t>
            </w:r>
          </w:p>
        </w:tc>
        <w:tc>
          <w:tcPr>
            <w:tcW w:w="489" w:type="dxa"/>
            <w:tcBorders>
              <w:top w:val="nil"/>
              <w:left w:val="nil"/>
              <w:bottom w:val="single" w:sz="8" w:space="0" w:color="auto"/>
              <w:right w:val="single" w:sz="8" w:space="0" w:color="auto"/>
            </w:tcBorders>
            <w:shd w:val="clear" w:color="auto" w:fill="404040"/>
            <w:vAlign w:val="center"/>
            <w:hideMark/>
          </w:tcPr>
          <w:p w14:paraId="593C4A49" w14:textId="77777777" w:rsidR="009A6217" w:rsidRPr="006F39A3" w:rsidRDefault="009A6217" w:rsidP="005D6E8C">
            <w:pPr>
              <w:spacing w:after="0" w:line="240" w:lineRule="auto"/>
              <w:jc w:val="center"/>
              <w:rPr>
                <w:rFonts w:ascii="Calibri" w:eastAsia="Times New Roman" w:hAnsi="Calibri" w:cs="Times New Roman"/>
                <w:color w:val="404040"/>
              </w:rPr>
            </w:pPr>
            <w:r w:rsidRPr="006F39A3">
              <w:rPr>
                <w:rFonts w:ascii="Calibri" w:eastAsia="Times New Roman" w:hAnsi="Calibri" w:cs="Times New Roman"/>
                <w:color w:val="404040"/>
              </w:rPr>
              <w:t> </w:t>
            </w:r>
          </w:p>
        </w:tc>
        <w:tc>
          <w:tcPr>
            <w:tcW w:w="489" w:type="dxa"/>
            <w:tcBorders>
              <w:top w:val="nil"/>
              <w:left w:val="nil"/>
              <w:bottom w:val="single" w:sz="8" w:space="0" w:color="auto"/>
              <w:right w:val="single" w:sz="8" w:space="0" w:color="auto"/>
            </w:tcBorders>
            <w:shd w:val="clear" w:color="auto" w:fill="404040"/>
            <w:vAlign w:val="center"/>
            <w:hideMark/>
          </w:tcPr>
          <w:p w14:paraId="78FABF16" w14:textId="77777777" w:rsidR="009A6217" w:rsidRPr="006F39A3" w:rsidRDefault="009A6217" w:rsidP="005D6E8C">
            <w:pPr>
              <w:spacing w:after="0" w:line="240" w:lineRule="auto"/>
              <w:jc w:val="center"/>
              <w:rPr>
                <w:rFonts w:ascii="Calibri" w:eastAsia="Times New Roman" w:hAnsi="Calibri" w:cs="Times New Roman"/>
                <w:color w:val="404040"/>
              </w:rPr>
            </w:pPr>
            <w:r w:rsidRPr="006F39A3">
              <w:rPr>
                <w:rFonts w:ascii="Calibri" w:eastAsia="Times New Roman" w:hAnsi="Calibri" w:cs="Times New Roman"/>
                <w:color w:val="404040"/>
              </w:rPr>
              <w:t> </w:t>
            </w:r>
          </w:p>
        </w:tc>
        <w:tc>
          <w:tcPr>
            <w:tcW w:w="489" w:type="dxa"/>
            <w:tcBorders>
              <w:top w:val="nil"/>
              <w:left w:val="nil"/>
              <w:bottom w:val="single" w:sz="8" w:space="0" w:color="auto"/>
              <w:right w:val="single" w:sz="8" w:space="0" w:color="auto"/>
            </w:tcBorders>
            <w:shd w:val="clear" w:color="auto" w:fill="404040"/>
            <w:vAlign w:val="center"/>
            <w:hideMark/>
          </w:tcPr>
          <w:p w14:paraId="4681B6C3" w14:textId="77777777" w:rsidR="009A6217" w:rsidRPr="006F39A3" w:rsidRDefault="009A6217" w:rsidP="005D6E8C">
            <w:pPr>
              <w:spacing w:after="0" w:line="240" w:lineRule="auto"/>
              <w:jc w:val="center"/>
              <w:rPr>
                <w:rFonts w:ascii="Calibri" w:eastAsia="Times New Roman" w:hAnsi="Calibri" w:cs="Times New Roman"/>
                <w:color w:val="404040"/>
              </w:rPr>
            </w:pPr>
            <w:r w:rsidRPr="006F39A3">
              <w:rPr>
                <w:rFonts w:ascii="Calibri" w:eastAsia="Times New Roman" w:hAnsi="Calibri" w:cs="Times New Roman"/>
                <w:color w:val="404040"/>
              </w:rPr>
              <w:t> </w:t>
            </w:r>
          </w:p>
        </w:tc>
        <w:tc>
          <w:tcPr>
            <w:tcW w:w="489" w:type="dxa"/>
            <w:tcBorders>
              <w:top w:val="nil"/>
              <w:left w:val="nil"/>
              <w:bottom w:val="single" w:sz="8" w:space="0" w:color="auto"/>
              <w:right w:val="single" w:sz="8" w:space="0" w:color="auto"/>
            </w:tcBorders>
            <w:shd w:val="clear" w:color="auto" w:fill="404040"/>
            <w:vAlign w:val="center"/>
            <w:hideMark/>
          </w:tcPr>
          <w:p w14:paraId="794D35C5" w14:textId="77777777" w:rsidR="009A6217" w:rsidRPr="006F39A3" w:rsidRDefault="009A6217" w:rsidP="005D6E8C">
            <w:pPr>
              <w:spacing w:after="0" w:line="240" w:lineRule="auto"/>
              <w:jc w:val="center"/>
              <w:rPr>
                <w:rFonts w:ascii="Calibri" w:eastAsia="Times New Roman" w:hAnsi="Calibri" w:cs="Times New Roman"/>
                <w:color w:val="404040"/>
              </w:rPr>
            </w:pPr>
            <w:r w:rsidRPr="006F39A3">
              <w:rPr>
                <w:rFonts w:ascii="Calibri" w:eastAsia="Times New Roman" w:hAnsi="Calibri" w:cs="Times New Roman"/>
                <w:color w:val="404040"/>
              </w:rPr>
              <w:t> </w:t>
            </w:r>
          </w:p>
        </w:tc>
        <w:tc>
          <w:tcPr>
            <w:tcW w:w="489" w:type="dxa"/>
            <w:tcBorders>
              <w:top w:val="nil"/>
              <w:left w:val="nil"/>
              <w:bottom w:val="single" w:sz="8" w:space="0" w:color="auto"/>
              <w:right w:val="single" w:sz="8" w:space="0" w:color="auto"/>
            </w:tcBorders>
            <w:shd w:val="clear" w:color="auto" w:fill="404040"/>
            <w:vAlign w:val="center"/>
            <w:hideMark/>
          </w:tcPr>
          <w:p w14:paraId="2214CC17" w14:textId="77777777" w:rsidR="009A6217" w:rsidRPr="006F39A3" w:rsidRDefault="009A6217" w:rsidP="005D6E8C">
            <w:pPr>
              <w:spacing w:after="0" w:line="240" w:lineRule="auto"/>
              <w:jc w:val="center"/>
              <w:rPr>
                <w:rFonts w:ascii="Calibri" w:eastAsia="Times New Roman" w:hAnsi="Calibri" w:cs="Times New Roman"/>
                <w:color w:val="404040"/>
              </w:rPr>
            </w:pPr>
            <w:r w:rsidRPr="006F39A3">
              <w:rPr>
                <w:rFonts w:ascii="Calibri" w:eastAsia="Times New Roman" w:hAnsi="Calibri" w:cs="Times New Roman"/>
                <w:color w:val="404040"/>
              </w:rPr>
              <w:t> </w:t>
            </w:r>
          </w:p>
        </w:tc>
        <w:tc>
          <w:tcPr>
            <w:tcW w:w="489" w:type="dxa"/>
            <w:tcBorders>
              <w:top w:val="nil"/>
              <w:left w:val="nil"/>
              <w:bottom w:val="single" w:sz="8" w:space="0" w:color="auto"/>
              <w:right w:val="single" w:sz="8" w:space="0" w:color="auto"/>
            </w:tcBorders>
            <w:shd w:val="clear" w:color="auto" w:fill="404040"/>
            <w:vAlign w:val="center"/>
            <w:hideMark/>
          </w:tcPr>
          <w:p w14:paraId="12E65C36" w14:textId="77777777" w:rsidR="009A6217" w:rsidRPr="006F39A3" w:rsidRDefault="009A6217" w:rsidP="005D6E8C">
            <w:pPr>
              <w:spacing w:after="0" w:line="240" w:lineRule="auto"/>
              <w:jc w:val="center"/>
              <w:rPr>
                <w:rFonts w:ascii="Calibri" w:eastAsia="Times New Roman" w:hAnsi="Calibri" w:cs="Times New Roman"/>
                <w:color w:val="404040"/>
              </w:rPr>
            </w:pPr>
            <w:r w:rsidRPr="006F39A3">
              <w:rPr>
                <w:rFonts w:ascii="Calibri" w:eastAsia="Times New Roman" w:hAnsi="Calibri" w:cs="Times New Roman"/>
                <w:color w:val="404040"/>
              </w:rPr>
              <w:t> </w:t>
            </w:r>
          </w:p>
        </w:tc>
        <w:tc>
          <w:tcPr>
            <w:tcW w:w="482" w:type="dxa"/>
            <w:tcBorders>
              <w:top w:val="nil"/>
              <w:left w:val="nil"/>
              <w:bottom w:val="single" w:sz="8" w:space="0" w:color="auto"/>
              <w:right w:val="single" w:sz="8" w:space="0" w:color="auto"/>
            </w:tcBorders>
            <w:shd w:val="clear" w:color="auto" w:fill="auto"/>
            <w:vAlign w:val="center"/>
            <w:hideMark/>
          </w:tcPr>
          <w:p w14:paraId="2A6C2C88"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404040"/>
            <w:vAlign w:val="center"/>
            <w:hideMark/>
          </w:tcPr>
          <w:p w14:paraId="12F517A1" w14:textId="77777777" w:rsidR="009A6217" w:rsidRPr="009A6217" w:rsidRDefault="009A6217" w:rsidP="005D6E8C">
            <w:pPr>
              <w:spacing w:after="0" w:line="240" w:lineRule="auto"/>
              <w:jc w:val="center"/>
              <w:rPr>
                <w:rFonts w:ascii="Calibri" w:eastAsia="Times New Roman" w:hAnsi="Calibri" w:cs="Times New Roman"/>
                <w:b/>
                <w:bCs/>
                <w:color w:val="000000"/>
              </w:rPr>
            </w:pPr>
            <w:r w:rsidRPr="009A6217">
              <w:rPr>
                <w:rFonts w:ascii="Calibri" w:eastAsia="Times New Roman" w:hAnsi="Calibri" w:cs="Times New Roman"/>
                <w:b/>
                <w:bCs/>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5F983422"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r>
      <w:tr w:rsidR="006F39A3" w:rsidRPr="009A6217" w14:paraId="10F3999D" w14:textId="77777777" w:rsidTr="005D6E8C">
        <w:trPr>
          <w:trHeight w:val="29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51661ED9" w14:textId="77777777" w:rsidR="006F39A3" w:rsidRPr="009A6217" w:rsidRDefault="006F39A3" w:rsidP="005D6E8C">
            <w:pPr>
              <w:spacing w:after="0" w:line="240" w:lineRule="auto"/>
              <w:rPr>
                <w:rFonts w:ascii="Calibri" w:eastAsia="Times New Roman" w:hAnsi="Calibri" w:cs="Times New Roman"/>
                <w:color w:val="000000"/>
              </w:rPr>
            </w:pPr>
            <w:r w:rsidRPr="009A6217">
              <w:rPr>
                <w:rFonts w:ascii="Calibri" w:eastAsia="Times New Roman" w:hAnsi="Calibri" w:cs="Times New Roman"/>
                <w:color w:val="000000"/>
              </w:rPr>
              <w:t>Department of Defense (DOD)</w:t>
            </w:r>
          </w:p>
        </w:tc>
        <w:tc>
          <w:tcPr>
            <w:tcW w:w="476" w:type="dxa"/>
            <w:tcBorders>
              <w:top w:val="nil"/>
              <w:left w:val="nil"/>
              <w:bottom w:val="single" w:sz="8" w:space="0" w:color="auto"/>
              <w:right w:val="single" w:sz="8" w:space="0" w:color="auto"/>
            </w:tcBorders>
            <w:shd w:val="clear" w:color="auto" w:fill="404040"/>
            <w:vAlign w:val="center"/>
            <w:hideMark/>
          </w:tcPr>
          <w:p w14:paraId="55BA5E85" w14:textId="77777777" w:rsidR="006F39A3" w:rsidRPr="009A6217" w:rsidRDefault="006F39A3"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404040"/>
            <w:vAlign w:val="center"/>
            <w:hideMark/>
          </w:tcPr>
          <w:p w14:paraId="69C8FF89" w14:textId="77777777" w:rsidR="006F39A3" w:rsidRPr="009A6217" w:rsidRDefault="006F39A3"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404040"/>
            <w:vAlign w:val="center"/>
            <w:hideMark/>
          </w:tcPr>
          <w:p w14:paraId="5F002833" w14:textId="77777777" w:rsidR="006F39A3" w:rsidRPr="009A6217" w:rsidRDefault="006F39A3"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404040"/>
            <w:vAlign w:val="center"/>
            <w:hideMark/>
          </w:tcPr>
          <w:p w14:paraId="241308EA" w14:textId="77777777" w:rsidR="006F39A3" w:rsidRPr="009A6217" w:rsidRDefault="006F39A3"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404040"/>
            <w:vAlign w:val="center"/>
            <w:hideMark/>
          </w:tcPr>
          <w:p w14:paraId="0949D16D" w14:textId="77777777" w:rsidR="006F39A3" w:rsidRPr="009A6217" w:rsidRDefault="006F39A3"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404040"/>
            <w:vAlign w:val="center"/>
            <w:hideMark/>
          </w:tcPr>
          <w:p w14:paraId="6FF402F5" w14:textId="02770777" w:rsidR="006F39A3" w:rsidRPr="009A6217" w:rsidRDefault="006F39A3"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404040"/>
            <w:vAlign w:val="center"/>
            <w:hideMark/>
          </w:tcPr>
          <w:p w14:paraId="7F227254" w14:textId="77777777" w:rsidR="006F39A3" w:rsidRPr="009A6217" w:rsidRDefault="006F39A3"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404040"/>
            <w:vAlign w:val="center"/>
            <w:hideMark/>
          </w:tcPr>
          <w:p w14:paraId="6788EE22" w14:textId="77777777" w:rsidR="006F39A3" w:rsidRPr="009A6217" w:rsidRDefault="006F39A3"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404040"/>
            <w:vAlign w:val="center"/>
            <w:hideMark/>
          </w:tcPr>
          <w:p w14:paraId="0B2484AB" w14:textId="77777777" w:rsidR="006F39A3" w:rsidRPr="009A6217" w:rsidRDefault="006F39A3"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404040"/>
            <w:vAlign w:val="center"/>
            <w:hideMark/>
          </w:tcPr>
          <w:p w14:paraId="13024055" w14:textId="77777777" w:rsidR="006F39A3" w:rsidRPr="009A6217" w:rsidRDefault="006F39A3" w:rsidP="005D6E8C">
            <w:pPr>
              <w:spacing w:after="0" w:line="240" w:lineRule="auto"/>
              <w:jc w:val="center"/>
              <w:rPr>
                <w:rFonts w:ascii="Calibri" w:eastAsia="Times New Roman" w:hAnsi="Calibri" w:cs="Times New Roman"/>
                <w:b/>
                <w:bCs/>
                <w:color w:val="000000"/>
              </w:rPr>
            </w:pPr>
            <w:r w:rsidRPr="009A6217">
              <w:rPr>
                <w:rFonts w:ascii="Calibri" w:eastAsia="Times New Roman" w:hAnsi="Calibri" w:cs="Times New Roman"/>
                <w:b/>
                <w:bCs/>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586AB6CC" w14:textId="77777777" w:rsidR="006F39A3" w:rsidRPr="009A6217" w:rsidRDefault="006F39A3" w:rsidP="005D6E8C">
            <w:pPr>
              <w:spacing w:after="0" w:line="240" w:lineRule="auto"/>
              <w:jc w:val="center"/>
              <w:rPr>
                <w:rFonts w:ascii="Calibri" w:eastAsia="Times New Roman" w:hAnsi="Calibri" w:cs="Times New Roman"/>
                <w:color w:val="000000"/>
              </w:rPr>
            </w:pPr>
            <w:r w:rsidRPr="00F91C64">
              <w:rPr>
                <w:rFonts w:ascii="Calibri" w:eastAsia="Times New Roman" w:hAnsi="Calibri" w:cs="Times New Roman"/>
                <w:color w:val="70AD47" w:themeColor="accent6"/>
              </w:rPr>
              <w:t> </w:t>
            </w:r>
          </w:p>
        </w:tc>
      </w:tr>
      <w:tr w:rsidR="009A6217" w:rsidRPr="009A6217" w14:paraId="11E03085" w14:textId="77777777" w:rsidTr="005D6E8C">
        <w:trPr>
          <w:trHeight w:val="29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1BE5C9C7" w14:textId="77777777" w:rsidR="009A6217" w:rsidRPr="009A6217" w:rsidRDefault="009A6217" w:rsidP="005D6E8C">
            <w:pPr>
              <w:spacing w:after="0" w:line="240" w:lineRule="auto"/>
              <w:rPr>
                <w:rFonts w:ascii="Symbol" w:eastAsia="Times New Roman" w:hAnsi="Symbol" w:cs="Times New Roman"/>
                <w:color w:val="000000"/>
              </w:rPr>
            </w:pPr>
            <w:r w:rsidRPr="009A6217">
              <w:rPr>
                <w:rFonts w:ascii="Calibri" w:eastAsia="Times New Roman" w:hAnsi="Calibri" w:cs="Times New Roman"/>
                <w:color w:val="000000"/>
              </w:rPr>
              <w:t>Army Legal Services Agency (USALSA)</w:t>
            </w:r>
          </w:p>
        </w:tc>
        <w:tc>
          <w:tcPr>
            <w:tcW w:w="476" w:type="dxa"/>
            <w:tcBorders>
              <w:top w:val="nil"/>
              <w:left w:val="nil"/>
              <w:bottom w:val="single" w:sz="8" w:space="0" w:color="auto"/>
              <w:right w:val="single" w:sz="8" w:space="0" w:color="auto"/>
            </w:tcBorders>
            <w:shd w:val="clear" w:color="auto" w:fill="auto"/>
            <w:vAlign w:val="center"/>
            <w:hideMark/>
          </w:tcPr>
          <w:p w14:paraId="597A96E8"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auto"/>
            <w:vAlign w:val="center"/>
            <w:hideMark/>
          </w:tcPr>
          <w:p w14:paraId="4EFC2449"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404040" w:themeFill="text1" w:themeFillTint="BF"/>
            <w:vAlign w:val="center"/>
            <w:hideMark/>
          </w:tcPr>
          <w:p w14:paraId="3A08F4D6"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404040" w:themeFill="text1" w:themeFillTint="BF"/>
            <w:vAlign w:val="center"/>
            <w:hideMark/>
          </w:tcPr>
          <w:p w14:paraId="04A59A4D"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404040" w:themeFill="text1" w:themeFillTint="BF"/>
            <w:vAlign w:val="center"/>
            <w:hideMark/>
          </w:tcPr>
          <w:p w14:paraId="601D264E"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404040" w:themeFill="text1" w:themeFillTint="BF"/>
            <w:vAlign w:val="center"/>
            <w:hideMark/>
          </w:tcPr>
          <w:p w14:paraId="5953703A"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404040" w:themeFill="text1" w:themeFillTint="BF"/>
            <w:vAlign w:val="center"/>
            <w:hideMark/>
          </w:tcPr>
          <w:p w14:paraId="71053E81"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404040" w:themeFill="text1" w:themeFillTint="BF"/>
            <w:vAlign w:val="center"/>
            <w:hideMark/>
          </w:tcPr>
          <w:p w14:paraId="713BC81B"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auto"/>
            <w:vAlign w:val="center"/>
            <w:hideMark/>
          </w:tcPr>
          <w:p w14:paraId="1D78ADB8"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39AD33B3"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44A53B49"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r>
      <w:tr w:rsidR="009A6217" w:rsidRPr="009A6217" w14:paraId="394A1FF8" w14:textId="77777777" w:rsidTr="005D6E8C">
        <w:trPr>
          <w:trHeight w:val="29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60B21F5A" w14:textId="77777777" w:rsidR="009A6217" w:rsidRPr="009A6217" w:rsidRDefault="009A6217" w:rsidP="005D6E8C">
            <w:pPr>
              <w:spacing w:after="0" w:line="240" w:lineRule="auto"/>
              <w:rPr>
                <w:rFonts w:ascii="Symbol" w:eastAsia="Times New Roman" w:hAnsi="Symbol" w:cs="Times New Roman"/>
                <w:color w:val="000000"/>
              </w:rPr>
            </w:pPr>
            <w:r w:rsidRPr="009A6217">
              <w:rPr>
                <w:rFonts w:ascii="Calibri" w:eastAsia="Times New Roman" w:hAnsi="Calibri" w:cs="Times New Roman"/>
                <w:color w:val="000000"/>
              </w:rPr>
              <w:t>Army</w:t>
            </w:r>
          </w:p>
        </w:tc>
        <w:tc>
          <w:tcPr>
            <w:tcW w:w="476" w:type="dxa"/>
            <w:tcBorders>
              <w:top w:val="nil"/>
              <w:left w:val="nil"/>
              <w:bottom w:val="single" w:sz="8" w:space="0" w:color="auto"/>
              <w:right w:val="single" w:sz="8" w:space="0" w:color="auto"/>
            </w:tcBorders>
            <w:shd w:val="clear" w:color="000000" w:fill="404040"/>
            <w:vAlign w:val="center"/>
            <w:hideMark/>
          </w:tcPr>
          <w:p w14:paraId="2C69B303"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000000" w:fill="404040"/>
            <w:vAlign w:val="center"/>
            <w:hideMark/>
          </w:tcPr>
          <w:p w14:paraId="6E054278"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5AD3E144"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0D75C84B"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7A91AFDF"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4214FAEB"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39EADB6B"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01F06DBE"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000000" w:fill="404040"/>
            <w:vAlign w:val="center"/>
            <w:hideMark/>
          </w:tcPr>
          <w:p w14:paraId="7FAECBA4"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000000" w:fill="404040"/>
            <w:vAlign w:val="center"/>
            <w:hideMark/>
          </w:tcPr>
          <w:p w14:paraId="6FC74691"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000000" w:fill="404040"/>
            <w:vAlign w:val="center"/>
            <w:hideMark/>
          </w:tcPr>
          <w:p w14:paraId="4AEB207C"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r>
      <w:tr w:rsidR="009A6217" w:rsidRPr="009A6217" w14:paraId="76347F78" w14:textId="77777777" w:rsidTr="005D6E8C">
        <w:trPr>
          <w:trHeight w:val="29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6BB94EA6" w14:textId="77777777" w:rsidR="009A6217" w:rsidRPr="009A6217" w:rsidRDefault="009A6217" w:rsidP="005D6E8C">
            <w:pPr>
              <w:spacing w:after="0" w:line="240" w:lineRule="auto"/>
              <w:rPr>
                <w:rFonts w:ascii="Symbol" w:eastAsia="Times New Roman" w:hAnsi="Symbol" w:cs="Times New Roman"/>
                <w:color w:val="000000"/>
              </w:rPr>
            </w:pPr>
            <w:r w:rsidRPr="009A6217">
              <w:rPr>
                <w:rFonts w:ascii="Calibri" w:eastAsia="Times New Roman" w:hAnsi="Calibri" w:cs="Times New Roman"/>
                <w:color w:val="000000"/>
              </w:rPr>
              <w:t>Corpus Christi Army Depot (CCAD)</w:t>
            </w:r>
          </w:p>
        </w:tc>
        <w:tc>
          <w:tcPr>
            <w:tcW w:w="476" w:type="dxa"/>
            <w:tcBorders>
              <w:top w:val="nil"/>
              <w:left w:val="nil"/>
              <w:bottom w:val="single" w:sz="8" w:space="0" w:color="auto"/>
              <w:right w:val="single" w:sz="8" w:space="0" w:color="auto"/>
            </w:tcBorders>
            <w:shd w:val="clear" w:color="auto" w:fill="auto"/>
            <w:vAlign w:val="center"/>
            <w:hideMark/>
          </w:tcPr>
          <w:p w14:paraId="3F0B232D"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auto"/>
            <w:vAlign w:val="center"/>
            <w:hideMark/>
          </w:tcPr>
          <w:p w14:paraId="29514C57"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2EEA7B06"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747E71B7"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31DD5FD5"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14B24D04"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174155BE"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000000" w:fill="404040"/>
            <w:vAlign w:val="center"/>
            <w:hideMark/>
          </w:tcPr>
          <w:p w14:paraId="408311D8"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auto"/>
            <w:vAlign w:val="center"/>
            <w:hideMark/>
          </w:tcPr>
          <w:p w14:paraId="7F5071AB"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4C25A408"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5B12AAEF"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r>
      <w:tr w:rsidR="009A6217" w:rsidRPr="009A6217" w14:paraId="1783E4E0" w14:textId="77777777" w:rsidTr="005D6E8C">
        <w:trPr>
          <w:trHeight w:val="29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570B06F8" w14:textId="77777777" w:rsidR="009A6217" w:rsidRPr="009A6217" w:rsidRDefault="009A6217" w:rsidP="005D6E8C">
            <w:pPr>
              <w:spacing w:after="0" w:line="240" w:lineRule="auto"/>
              <w:rPr>
                <w:rFonts w:ascii="Symbol" w:eastAsia="Times New Roman" w:hAnsi="Symbol" w:cs="Times New Roman"/>
                <w:color w:val="000000"/>
              </w:rPr>
            </w:pPr>
            <w:r w:rsidRPr="009A6217">
              <w:rPr>
                <w:rFonts w:ascii="Calibri" w:eastAsia="Times New Roman" w:hAnsi="Calibri" w:cs="Times New Roman"/>
                <w:color w:val="000000"/>
              </w:rPr>
              <w:t>Office of Staff Judge Advocate (OSJA)</w:t>
            </w:r>
          </w:p>
        </w:tc>
        <w:tc>
          <w:tcPr>
            <w:tcW w:w="476" w:type="dxa"/>
            <w:tcBorders>
              <w:top w:val="nil"/>
              <w:left w:val="nil"/>
              <w:bottom w:val="single" w:sz="8" w:space="0" w:color="auto"/>
              <w:right w:val="single" w:sz="8" w:space="0" w:color="auto"/>
            </w:tcBorders>
            <w:shd w:val="clear" w:color="auto" w:fill="auto"/>
            <w:vAlign w:val="center"/>
            <w:hideMark/>
          </w:tcPr>
          <w:p w14:paraId="5D1732FB"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auto"/>
            <w:vAlign w:val="center"/>
            <w:hideMark/>
          </w:tcPr>
          <w:p w14:paraId="5E0BADAF"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000000" w:fill="404040"/>
            <w:vAlign w:val="center"/>
            <w:hideMark/>
          </w:tcPr>
          <w:p w14:paraId="0112FF00"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50CD501B"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6F8702FC"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298A676C"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3DAE6709"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66B3A513"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auto"/>
            <w:vAlign w:val="center"/>
            <w:hideMark/>
          </w:tcPr>
          <w:p w14:paraId="14D0BDD2"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270ED4B1"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7F025500"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r>
      <w:tr w:rsidR="009A6217" w:rsidRPr="009A6217" w14:paraId="422984FB" w14:textId="77777777" w:rsidTr="005D6E8C">
        <w:trPr>
          <w:trHeight w:val="29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39F0333A" w14:textId="77777777" w:rsidR="009A6217" w:rsidRPr="009A6217" w:rsidRDefault="009A6217" w:rsidP="005D6E8C">
            <w:pPr>
              <w:spacing w:after="0" w:line="240" w:lineRule="auto"/>
              <w:rPr>
                <w:rFonts w:ascii="Symbol" w:eastAsia="Times New Roman" w:hAnsi="Symbol" w:cs="Times New Roman"/>
                <w:color w:val="000000"/>
              </w:rPr>
            </w:pPr>
            <w:r w:rsidRPr="009A6217">
              <w:rPr>
                <w:rFonts w:ascii="Calibri" w:eastAsia="Times New Roman" w:hAnsi="Calibri" w:cs="Times New Roman"/>
                <w:color w:val="000000"/>
              </w:rPr>
              <w:t>Environmental Law Division</w:t>
            </w:r>
          </w:p>
        </w:tc>
        <w:tc>
          <w:tcPr>
            <w:tcW w:w="476" w:type="dxa"/>
            <w:tcBorders>
              <w:top w:val="nil"/>
              <w:left w:val="nil"/>
              <w:bottom w:val="single" w:sz="8" w:space="0" w:color="auto"/>
              <w:right w:val="single" w:sz="8" w:space="0" w:color="auto"/>
            </w:tcBorders>
            <w:shd w:val="clear" w:color="auto" w:fill="auto"/>
            <w:vAlign w:val="center"/>
            <w:hideMark/>
          </w:tcPr>
          <w:p w14:paraId="4EEA0758"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000000" w:fill="404040"/>
            <w:vAlign w:val="center"/>
            <w:hideMark/>
          </w:tcPr>
          <w:p w14:paraId="03289B8E"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47E44F3B"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1CC07091"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1DAB24E6"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49B34433"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7D4C3EA7"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710C7C9C"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auto"/>
            <w:vAlign w:val="center"/>
            <w:hideMark/>
          </w:tcPr>
          <w:p w14:paraId="071554E7"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5866C881" w14:textId="77777777" w:rsidR="009A6217" w:rsidRPr="009A6217" w:rsidRDefault="009A6217" w:rsidP="005D6E8C">
            <w:pPr>
              <w:spacing w:after="0" w:line="240" w:lineRule="auto"/>
              <w:jc w:val="center"/>
              <w:rPr>
                <w:rFonts w:ascii="Calibri" w:eastAsia="Times New Roman" w:hAnsi="Calibri" w:cs="Times New Roman"/>
                <w:b/>
                <w:bCs/>
                <w:color w:val="000000"/>
              </w:rPr>
            </w:pPr>
            <w:r w:rsidRPr="009A6217">
              <w:rPr>
                <w:rFonts w:ascii="Calibri" w:eastAsia="Times New Roman" w:hAnsi="Calibri" w:cs="Times New Roman"/>
                <w:b/>
                <w:bCs/>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7A26EB9B" w14:textId="77777777" w:rsidR="009A6217" w:rsidRPr="009A6217" w:rsidRDefault="009A6217" w:rsidP="005D6E8C">
            <w:pPr>
              <w:spacing w:after="0" w:line="240" w:lineRule="auto"/>
              <w:jc w:val="center"/>
              <w:rPr>
                <w:rFonts w:ascii="Calibri" w:eastAsia="Times New Roman" w:hAnsi="Calibri" w:cs="Times New Roman"/>
                <w:b/>
                <w:bCs/>
                <w:color w:val="000000"/>
              </w:rPr>
            </w:pPr>
            <w:r w:rsidRPr="009A6217">
              <w:rPr>
                <w:rFonts w:ascii="Calibri" w:eastAsia="Times New Roman" w:hAnsi="Calibri" w:cs="Times New Roman"/>
                <w:b/>
                <w:bCs/>
                <w:color w:val="000000"/>
              </w:rPr>
              <w:t> </w:t>
            </w:r>
          </w:p>
        </w:tc>
      </w:tr>
      <w:tr w:rsidR="009A6217" w:rsidRPr="009A6217" w14:paraId="4E120607" w14:textId="77777777" w:rsidTr="005D6E8C">
        <w:trPr>
          <w:trHeight w:val="29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4DDF6BC5" w14:textId="77777777" w:rsidR="009A6217" w:rsidRPr="009A6217" w:rsidRDefault="009A6217" w:rsidP="005D6E8C">
            <w:pPr>
              <w:spacing w:after="0" w:line="240" w:lineRule="auto"/>
              <w:rPr>
                <w:rFonts w:ascii="Symbol" w:eastAsia="Times New Roman" w:hAnsi="Symbol" w:cs="Times New Roman"/>
                <w:color w:val="000000"/>
              </w:rPr>
            </w:pPr>
            <w:r w:rsidRPr="009A6217">
              <w:rPr>
                <w:rFonts w:ascii="Calibri" w:eastAsia="Times New Roman" w:hAnsi="Calibri" w:cs="Times New Roman"/>
                <w:color w:val="000000"/>
              </w:rPr>
              <w:t>National Guard Bureau (NGB)</w:t>
            </w:r>
          </w:p>
        </w:tc>
        <w:tc>
          <w:tcPr>
            <w:tcW w:w="476" w:type="dxa"/>
            <w:tcBorders>
              <w:top w:val="nil"/>
              <w:left w:val="nil"/>
              <w:bottom w:val="single" w:sz="8" w:space="0" w:color="auto"/>
              <w:right w:val="single" w:sz="8" w:space="0" w:color="auto"/>
            </w:tcBorders>
            <w:shd w:val="clear" w:color="auto" w:fill="auto"/>
            <w:vAlign w:val="center"/>
            <w:hideMark/>
          </w:tcPr>
          <w:p w14:paraId="0F365590"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000000" w:fill="404040"/>
            <w:vAlign w:val="center"/>
            <w:hideMark/>
          </w:tcPr>
          <w:p w14:paraId="327D257E"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061424C0"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4DD28249"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1FDD0EA0"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7E86DD5F"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16E79022"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4C911D53"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auto"/>
            <w:vAlign w:val="center"/>
            <w:hideMark/>
          </w:tcPr>
          <w:p w14:paraId="761EE319"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404040"/>
            <w:vAlign w:val="center"/>
            <w:hideMark/>
          </w:tcPr>
          <w:p w14:paraId="19FB3025"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404040"/>
            <w:vAlign w:val="center"/>
            <w:hideMark/>
          </w:tcPr>
          <w:p w14:paraId="5472AADF"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r>
      <w:tr w:rsidR="009A6217" w:rsidRPr="009A6217" w14:paraId="0F864C10" w14:textId="77777777" w:rsidTr="005D6E8C">
        <w:trPr>
          <w:trHeight w:val="29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247E0C4B" w14:textId="77777777" w:rsidR="009A6217" w:rsidRPr="009A6217" w:rsidRDefault="009A6217" w:rsidP="005D6E8C">
            <w:pPr>
              <w:spacing w:after="0" w:line="240" w:lineRule="auto"/>
              <w:rPr>
                <w:rFonts w:ascii="Symbol" w:eastAsia="Times New Roman" w:hAnsi="Symbol" w:cs="Times New Roman"/>
                <w:color w:val="000000"/>
              </w:rPr>
            </w:pPr>
            <w:r w:rsidRPr="009A6217">
              <w:rPr>
                <w:rFonts w:ascii="Calibri" w:eastAsia="Times New Roman" w:hAnsi="Calibri" w:cs="Times New Roman"/>
                <w:color w:val="000000"/>
              </w:rPr>
              <w:t>U.S. Army Reserve (USAR)</w:t>
            </w:r>
          </w:p>
        </w:tc>
        <w:tc>
          <w:tcPr>
            <w:tcW w:w="476" w:type="dxa"/>
            <w:tcBorders>
              <w:top w:val="nil"/>
              <w:left w:val="nil"/>
              <w:bottom w:val="single" w:sz="8" w:space="0" w:color="auto"/>
              <w:right w:val="single" w:sz="8" w:space="0" w:color="auto"/>
            </w:tcBorders>
            <w:shd w:val="clear" w:color="auto" w:fill="auto"/>
            <w:vAlign w:val="center"/>
            <w:hideMark/>
          </w:tcPr>
          <w:p w14:paraId="12AA533E"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auto"/>
            <w:vAlign w:val="center"/>
            <w:hideMark/>
          </w:tcPr>
          <w:p w14:paraId="2B483BA1"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0D245B9E"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46DB84DB"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6E8491D5"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6EDB9522"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78F523D2"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6F6C33D6"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auto"/>
            <w:vAlign w:val="center"/>
            <w:hideMark/>
          </w:tcPr>
          <w:p w14:paraId="250D7F05"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11CEBA69"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000000" w:fill="404040"/>
            <w:vAlign w:val="center"/>
            <w:hideMark/>
          </w:tcPr>
          <w:p w14:paraId="42D20E95"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r>
      <w:tr w:rsidR="009A6217" w:rsidRPr="009A6217" w14:paraId="03DA4247" w14:textId="77777777" w:rsidTr="005D6E8C">
        <w:trPr>
          <w:trHeight w:val="29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600DBDC8" w14:textId="77777777" w:rsidR="009A6217" w:rsidRPr="009A6217" w:rsidRDefault="009A6217" w:rsidP="005D6E8C">
            <w:pPr>
              <w:spacing w:after="0" w:line="240" w:lineRule="auto"/>
              <w:rPr>
                <w:rFonts w:ascii="Calibri" w:eastAsia="Times New Roman" w:hAnsi="Calibri" w:cs="Times New Roman"/>
                <w:color w:val="000000"/>
              </w:rPr>
            </w:pPr>
            <w:r w:rsidRPr="009A6217">
              <w:rPr>
                <w:rFonts w:ascii="Calibri" w:eastAsia="Times New Roman" w:hAnsi="Calibri" w:cs="Times New Roman"/>
                <w:color w:val="000000"/>
              </w:rPr>
              <w:t>Department of Health and Human Services (HHS)</w:t>
            </w:r>
          </w:p>
        </w:tc>
        <w:tc>
          <w:tcPr>
            <w:tcW w:w="476" w:type="dxa"/>
            <w:tcBorders>
              <w:top w:val="nil"/>
              <w:left w:val="nil"/>
              <w:bottom w:val="single" w:sz="8" w:space="0" w:color="auto"/>
              <w:right w:val="single" w:sz="8" w:space="0" w:color="auto"/>
            </w:tcBorders>
            <w:shd w:val="clear" w:color="000000" w:fill="404040"/>
            <w:vAlign w:val="center"/>
            <w:hideMark/>
          </w:tcPr>
          <w:p w14:paraId="0A369E6A"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000000" w:fill="404040"/>
            <w:vAlign w:val="center"/>
            <w:hideMark/>
          </w:tcPr>
          <w:p w14:paraId="6C680C8A"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6EB607A3"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584FDBA5"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0AAA2448"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3C3EA1BE"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49CFC9B8"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437A6D90"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auto"/>
            <w:vAlign w:val="center"/>
            <w:hideMark/>
          </w:tcPr>
          <w:p w14:paraId="4AC9FF5C"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4256424A"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0239F0DF"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r>
      <w:tr w:rsidR="009A6217" w:rsidRPr="009A6217" w14:paraId="2226BFD9" w14:textId="77777777" w:rsidTr="005D6E8C">
        <w:trPr>
          <w:trHeight w:val="29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48BA12B7" w14:textId="77777777" w:rsidR="009A6217" w:rsidRPr="009A6217" w:rsidRDefault="009A6217" w:rsidP="005D6E8C">
            <w:pPr>
              <w:spacing w:after="0" w:line="240" w:lineRule="auto"/>
              <w:rPr>
                <w:rFonts w:ascii="Calibri" w:eastAsia="Times New Roman" w:hAnsi="Calibri" w:cs="Times New Roman"/>
                <w:color w:val="000000"/>
              </w:rPr>
            </w:pPr>
            <w:r w:rsidRPr="009A6217">
              <w:rPr>
                <w:rFonts w:ascii="Calibri" w:eastAsia="Times New Roman" w:hAnsi="Calibri" w:cs="Times New Roman"/>
                <w:color w:val="000000"/>
              </w:rPr>
              <w:t>Department of Justice (DOJ)</w:t>
            </w:r>
          </w:p>
        </w:tc>
        <w:tc>
          <w:tcPr>
            <w:tcW w:w="476" w:type="dxa"/>
            <w:tcBorders>
              <w:top w:val="nil"/>
              <w:left w:val="nil"/>
              <w:bottom w:val="single" w:sz="8" w:space="0" w:color="auto"/>
              <w:right w:val="single" w:sz="8" w:space="0" w:color="auto"/>
            </w:tcBorders>
            <w:shd w:val="clear" w:color="000000" w:fill="404040"/>
            <w:vAlign w:val="center"/>
            <w:hideMark/>
          </w:tcPr>
          <w:p w14:paraId="256CE095"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000000" w:fill="404040"/>
            <w:vAlign w:val="center"/>
            <w:hideMark/>
          </w:tcPr>
          <w:p w14:paraId="5CF06F65"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000000" w:fill="404040"/>
            <w:vAlign w:val="center"/>
            <w:hideMark/>
          </w:tcPr>
          <w:p w14:paraId="0EEE6989"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000000" w:fill="404040"/>
            <w:vAlign w:val="center"/>
            <w:hideMark/>
          </w:tcPr>
          <w:p w14:paraId="6B535933"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000000" w:fill="404040"/>
            <w:vAlign w:val="center"/>
            <w:hideMark/>
          </w:tcPr>
          <w:p w14:paraId="7791EEB6"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347FBF9E"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23E6E1D9"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6B730650"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auto"/>
            <w:vAlign w:val="center"/>
            <w:hideMark/>
          </w:tcPr>
          <w:p w14:paraId="36C62C04"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6B936028"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0FDCBC0C"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r>
      <w:tr w:rsidR="009A6217" w:rsidRPr="009A6217" w14:paraId="36262DBF" w14:textId="77777777" w:rsidTr="005D6E8C">
        <w:trPr>
          <w:trHeight w:val="29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439AB71B" w14:textId="77777777" w:rsidR="009A6217" w:rsidRPr="009A6217" w:rsidRDefault="009A6217" w:rsidP="005D6E8C">
            <w:pPr>
              <w:spacing w:after="0" w:line="240" w:lineRule="auto"/>
              <w:rPr>
                <w:rFonts w:ascii="Calibri" w:eastAsia="Times New Roman" w:hAnsi="Calibri" w:cs="Times New Roman"/>
                <w:color w:val="000000"/>
              </w:rPr>
            </w:pPr>
            <w:r w:rsidRPr="009A6217">
              <w:rPr>
                <w:rFonts w:ascii="Calibri" w:eastAsia="Times New Roman" w:hAnsi="Calibri" w:cs="Times New Roman"/>
                <w:color w:val="000000"/>
              </w:rPr>
              <w:t>Department of Transportation (DOT)</w:t>
            </w:r>
          </w:p>
        </w:tc>
        <w:tc>
          <w:tcPr>
            <w:tcW w:w="476" w:type="dxa"/>
            <w:tcBorders>
              <w:top w:val="nil"/>
              <w:left w:val="nil"/>
              <w:bottom w:val="single" w:sz="8" w:space="0" w:color="auto"/>
              <w:right w:val="single" w:sz="8" w:space="0" w:color="auto"/>
            </w:tcBorders>
            <w:shd w:val="clear" w:color="000000" w:fill="404040"/>
            <w:vAlign w:val="center"/>
            <w:hideMark/>
          </w:tcPr>
          <w:p w14:paraId="216F6765"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000000" w:fill="404040"/>
            <w:vAlign w:val="center"/>
            <w:hideMark/>
          </w:tcPr>
          <w:p w14:paraId="49DE4656"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000000" w:fill="404040"/>
            <w:vAlign w:val="center"/>
            <w:hideMark/>
          </w:tcPr>
          <w:p w14:paraId="6F3D375E"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1A820118"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0870B796"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000000" w:fill="404040"/>
            <w:vAlign w:val="center"/>
            <w:hideMark/>
          </w:tcPr>
          <w:p w14:paraId="673F9C01"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000000" w:fill="404040"/>
            <w:vAlign w:val="center"/>
            <w:hideMark/>
          </w:tcPr>
          <w:p w14:paraId="0E50BA24"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000000" w:fill="404040"/>
            <w:vAlign w:val="center"/>
            <w:hideMark/>
          </w:tcPr>
          <w:p w14:paraId="4A01C082"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000000" w:fill="404040"/>
            <w:vAlign w:val="center"/>
            <w:hideMark/>
          </w:tcPr>
          <w:p w14:paraId="4043155E"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000000" w:fill="404040"/>
            <w:vAlign w:val="center"/>
            <w:hideMark/>
          </w:tcPr>
          <w:p w14:paraId="68977E54" w14:textId="77777777" w:rsidR="009A6217" w:rsidRPr="009A6217" w:rsidRDefault="009A6217" w:rsidP="005D6E8C">
            <w:pPr>
              <w:spacing w:after="0" w:line="240" w:lineRule="auto"/>
              <w:jc w:val="center"/>
              <w:rPr>
                <w:rFonts w:ascii="Calibri" w:eastAsia="Times New Roman" w:hAnsi="Calibri" w:cs="Times New Roman"/>
                <w:b/>
                <w:bCs/>
                <w:color w:val="000000"/>
              </w:rPr>
            </w:pPr>
            <w:r w:rsidRPr="009A6217">
              <w:rPr>
                <w:rFonts w:ascii="Calibri" w:eastAsia="Times New Roman" w:hAnsi="Calibri" w:cs="Times New Roman"/>
                <w:b/>
                <w:bCs/>
                <w:color w:val="000000"/>
              </w:rPr>
              <w:t> </w:t>
            </w:r>
          </w:p>
        </w:tc>
        <w:tc>
          <w:tcPr>
            <w:tcW w:w="476" w:type="dxa"/>
            <w:tcBorders>
              <w:top w:val="nil"/>
              <w:left w:val="nil"/>
              <w:bottom w:val="single" w:sz="8" w:space="0" w:color="auto"/>
              <w:right w:val="single" w:sz="8" w:space="0" w:color="auto"/>
            </w:tcBorders>
            <w:shd w:val="clear" w:color="auto" w:fill="404040" w:themeFill="text1" w:themeFillTint="BF"/>
            <w:vAlign w:val="center"/>
            <w:hideMark/>
          </w:tcPr>
          <w:p w14:paraId="16D64BC9"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r>
      <w:tr w:rsidR="009A6217" w:rsidRPr="009A6217" w14:paraId="70C5E686" w14:textId="77777777" w:rsidTr="005D6E8C">
        <w:trPr>
          <w:trHeight w:val="29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106ED63F" w14:textId="77777777" w:rsidR="009A6217" w:rsidRPr="009A6217" w:rsidRDefault="009A6217" w:rsidP="005D6E8C">
            <w:pPr>
              <w:spacing w:after="0" w:line="240" w:lineRule="auto"/>
              <w:rPr>
                <w:rFonts w:ascii="Calibri" w:eastAsia="Times New Roman" w:hAnsi="Calibri" w:cs="Times New Roman"/>
                <w:color w:val="000000"/>
              </w:rPr>
            </w:pPr>
            <w:r w:rsidRPr="009A6217">
              <w:rPr>
                <w:rFonts w:ascii="Calibri" w:eastAsia="Times New Roman" w:hAnsi="Calibri" w:cs="Times New Roman"/>
                <w:color w:val="000000"/>
              </w:rPr>
              <w:t>General Services Administration (GSA)</w:t>
            </w:r>
          </w:p>
        </w:tc>
        <w:tc>
          <w:tcPr>
            <w:tcW w:w="476" w:type="dxa"/>
            <w:tcBorders>
              <w:top w:val="nil"/>
              <w:left w:val="nil"/>
              <w:bottom w:val="single" w:sz="8" w:space="0" w:color="auto"/>
              <w:right w:val="single" w:sz="8" w:space="0" w:color="auto"/>
            </w:tcBorders>
            <w:shd w:val="clear" w:color="000000" w:fill="404040"/>
            <w:vAlign w:val="center"/>
            <w:hideMark/>
          </w:tcPr>
          <w:p w14:paraId="071DEE0E"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000000" w:fill="404040"/>
            <w:vAlign w:val="center"/>
            <w:hideMark/>
          </w:tcPr>
          <w:p w14:paraId="22424749"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000000" w:fill="404040"/>
            <w:vAlign w:val="center"/>
            <w:hideMark/>
          </w:tcPr>
          <w:p w14:paraId="63B577D6"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000000" w:fill="404040"/>
            <w:vAlign w:val="center"/>
            <w:hideMark/>
          </w:tcPr>
          <w:p w14:paraId="43C32F0C"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31F0C530"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7CC99681"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5C9FCB6C"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794BD21C"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auto"/>
            <w:vAlign w:val="center"/>
            <w:hideMark/>
          </w:tcPr>
          <w:p w14:paraId="6CC8813E"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63131824"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6E91F737"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r>
      <w:tr w:rsidR="009A6217" w:rsidRPr="009A6217" w14:paraId="249425BA" w14:textId="77777777" w:rsidTr="005D6E8C">
        <w:trPr>
          <w:trHeight w:val="29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73299218" w14:textId="77777777" w:rsidR="009A6217" w:rsidRPr="009A6217" w:rsidRDefault="009A6217" w:rsidP="005D6E8C">
            <w:pPr>
              <w:spacing w:after="0" w:line="240" w:lineRule="auto"/>
              <w:rPr>
                <w:rFonts w:ascii="Calibri" w:eastAsia="Times New Roman" w:hAnsi="Calibri" w:cs="Times New Roman"/>
                <w:color w:val="000000"/>
              </w:rPr>
            </w:pPr>
            <w:r w:rsidRPr="009A6217">
              <w:rPr>
                <w:rFonts w:ascii="Calibri" w:eastAsia="Times New Roman" w:hAnsi="Calibri" w:cs="Times New Roman"/>
                <w:color w:val="000000"/>
              </w:rPr>
              <w:t>National Aeronautics and Space Administration (NASA)</w:t>
            </w:r>
          </w:p>
        </w:tc>
        <w:tc>
          <w:tcPr>
            <w:tcW w:w="476" w:type="dxa"/>
            <w:tcBorders>
              <w:top w:val="nil"/>
              <w:left w:val="nil"/>
              <w:bottom w:val="single" w:sz="8" w:space="0" w:color="auto"/>
              <w:right w:val="single" w:sz="8" w:space="0" w:color="auto"/>
            </w:tcBorders>
            <w:shd w:val="clear" w:color="000000" w:fill="404040"/>
            <w:vAlign w:val="center"/>
            <w:hideMark/>
          </w:tcPr>
          <w:p w14:paraId="1CD6A6D2"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000000" w:fill="404040"/>
            <w:vAlign w:val="center"/>
            <w:hideMark/>
          </w:tcPr>
          <w:p w14:paraId="71CA82C1"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000000" w:fill="404040"/>
            <w:vAlign w:val="center"/>
            <w:hideMark/>
          </w:tcPr>
          <w:p w14:paraId="0107165C"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000000" w:fill="404040"/>
            <w:vAlign w:val="center"/>
            <w:hideMark/>
          </w:tcPr>
          <w:p w14:paraId="07F17ECC"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000000" w:fill="404040"/>
            <w:vAlign w:val="center"/>
            <w:hideMark/>
          </w:tcPr>
          <w:p w14:paraId="569A1480"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70116746"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66B3D8D2"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000000" w:fill="404040"/>
            <w:vAlign w:val="center"/>
            <w:hideMark/>
          </w:tcPr>
          <w:p w14:paraId="1C91DBD0"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auto"/>
            <w:vAlign w:val="center"/>
            <w:hideMark/>
          </w:tcPr>
          <w:p w14:paraId="22AA8724"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030F3BFC"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7A7CE618"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r>
      <w:tr w:rsidR="009A6217" w:rsidRPr="009A6217" w14:paraId="39B040FD" w14:textId="77777777" w:rsidTr="005D6E8C">
        <w:trPr>
          <w:trHeight w:val="29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6278167A" w14:textId="77777777" w:rsidR="009A6217" w:rsidRPr="009A6217" w:rsidRDefault="009A6217" w:rsidP="005D6E8C">
            <w:pPr>
              <w:spacing w:after="0" w:line="240" w:lineRule="auto"/>
              <w:rPr>
                <w:rFonts w:ascii="Calibri" w:eastAsia="Times New Roman" w:hAnsi="Calibri" w:cs="Times New Roman"/>
                <w:color w:val="000000"/>
              </w:rPr>
            </w:pPr>
            <w:r w:rsidRPr="009A6217">
              <w:rPr>
                <w:rFonts w:ascii="Calibri" w:eastAsia="Times New Roman" w:hAnsi="Calibri" w:cs="Times New Roman"/>
                <w:color w:val="000000"/>
              </w:rPr>
              <w:t>National Capital Planning Commission (NCPC)</w:t>
            </w:r>
          </w:p>
        </w:tc>
        <w:tc>
          <w:tcPr>
            <w:tcW w:w="476" w:type="dxa"/>
            <w:tcBorders>
              <w:top w:val="nil"/>
              <w:left w:val="nil"/>
              <w:bottom w:val="single" w:sz="8" w:space="0" w:color="auto"/>
              <w:right w:val="single" w:sz="8" w:space="0" w:color="auto"/>
            </w:tcBorders>
            <w:shd w:val="clear" w:color="000000" w:fill="404040"/>
            <w:vAlign w:val="center"/>
            <w:hideMark/>
          </w:tcPr>
          <w:p w14:paraId="34033238"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000000" w:fill="404040"/>
            <w:vAlign w:val="center"/>
            <w:hideMark/>
          </w:tcPr>
          <w:p w14:paraId="79AA5765"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16E7C1B8"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53FF656B"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07E28ED8"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198EA733"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10B101E2"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71A1F0F9"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auto"/>
            <w:vAlign w:val="center"/>
            <w:hideMark/>
          </w:tcPr>
          <w:p w14:paraId="6CA6714C"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48555FBA"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0E464ACD"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r>
      <w:tr w:rsidR="009A6217" w:rsidRPr="009A6217" w14:paraId="42D7E994" w14:textId="77777777" w:rsidTr="005D6E8C">
        <w:trPr>
          <w:trHeight w:val="29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39B9EB53" w14:textId="77777777" w:rsidR="009A6217" w:rsidRPr="009A6217" w:rsidRDefault="009A6217" w:rsidP="005D6E8C">
            <w:pPr>
              <w:spacing w:after="0" w:line="240" w:lineRule="auto"/>
              <w:rPr>
                <w:rFonts w:ascii="Calibri" w:eastAsia="Times New Roman" w:hAnsi="Calibri" w:cs="Times New Roman"/>
                <w:color w:val="000000"/>
              </w:rPr>
            </w:pPr>
            <w:r w:rsidRPr="009A6217">
              <w:rPr>
                <w:rFonts w:ascii="Calibri" w:eastAsia="Times New Roman" w:hAnsi="Calibri" w:cs="Times New Roman"/>
                <w:color w:val="000000"/>
              </w:rPr>
              <w:t>National Indian Gaming Commission (NIGC)</w:t>
            </w:r>
          </w:p>
        </w:tc>
        <w:tc>
          <w:tcPr>
            <w:tcW w:w="476" w:type="dxa"/>
            <w:tcBorders>
              <w:top w:val="nil"/>
              <w:left w:val="nil"/>
              <w:bottom w:val="single" w:sz="8" w:space="0" w:color="auto"/>
              <w:right w:val="single" w:sz="8" w:space="0" w:color="auto"/>
            </w:tcBorders>
            <w:shd w:val="clear" w:color="000000" w:fill="404040"/>
            <w:vAlign w:val="center"/>
            <w:hideMark/>
          </w:tcPr>
          <w:p w14:paraId="2C859895"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000000" w:fill="404040"/>
            <w:vAlign w:val="center"/>
            <w:hideMark/>
          </w:tcPr>
          <w:p w14:paraId="1C3B6645"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000000" w:fill="404040"/>
            <w:vAlign w:val="center"/>
            <w:hideMark/>
          </w:tcPr>
          <w:p w14:paraId="2DCF2C40"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000000" w:fill="404040"/>
            <w:vAlign w:val="center"/>
            <w:hideMark/>
          </w:tcPr>
          <w:p w14:paraId="7FE15C27"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03993A42"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285CB3A5"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0764873A"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36A47E15"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auto"/>
            <w:vAlign w:val="center"/>
            <w:hideMark/>
          </w:tcPr>
          <w:p w14:paraId="5F85C671"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2A1ABC96"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5EC190AB"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r>
      <w:tr w:rsidR="00991A49" w:rsidRPr="009A6217" w14:paraId="5182EF36" w14:textId="77777777" w:rsidTr="005D6E8C">
        <w:trPr>
          <w:trHeight w:val="29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7028BD76" w14:textId="77777777" w:rsidR="00991A49" w:rsidRPr="009A6217" w:rsidRDefault="00991A49" w:rsidP="005D6E8C">
            <w:pPr>
              <w:spacing w:after="0" w:line="240" w:lineRule="auto"/>
              <w:rPr>
                <w:rFonts w:ascii="Calibri" w:eastAsia="Times New Roman" w:hAnsi="Calibri" w:cs="Times New Roman"/>
                <w:color w:val="000000"/>
              </w:rPr>
            </w:pPr>
            <w:r w:rsidRPr="009A6217">
              <w:rPr>
                <w:rFonts w:ascii="Calibri" w:eastAsia="Times New Roman" w:hAnsi="Calibri" w:cs="Times New Roman"/>
                <w:color w:val="000000"/>
              </w:rPr>
              <w:t>Nuclear Regulatory Commission (NRC)</w:t>
            </w:r>
          </w:p>
        </w:tc>
        <w:tc>
          <w:tcPr>
            <w:tcW w:w="476" w:type="dxa"/>
            <w:tcBorders>
              <w:top w:val="nil"/>
              <w:left w:val="nil"/>
              <w:bottom w:val="single" w:sz="8" w:space="0" w:color="auto"/>
              <w:right w:val="single" w:sz="8" w:space="0" w:color="auto"/>
            </w:tcBorders>
            <w:shd w:val="clear" w:color="auto" w:fill="404040" w:themeFill="text1" w:themeFillTint="BF"/>
            <w:vAlign w:val="center"/>
            <w:hideMark/>
          </w:tcPr>
          <w:p w14:paraId="65F94AE1" w14:textId="77777777" w:rsidR="00991A49" w:rsidRPr="009A6217" w:rsidRDefault="00991A49"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404040" w:themeFill="text1" w:themeFillTint="BF"/>
            <w:vAlign w:val="center"/>
            <w:hideMark/>
          </w:tcPr>
          <w:p w14:paraId="27BA930D" w14:textId="77777777" w:rsidR="00991A49" w:rsidRPr="009A6217" w:rsidRDefault="00991A49"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404040" w:themeFill="text1" w:themeFillTint="BF"/>
            <w:vAlign w:val="center"/>
            <w:hideMark/>
          </w:tcPr>
          <w:p w14:paraId="3BA8101F" w14:textId="2639052C" w:rsidR="00991A49" w:rsidRPr="009A6217" w:rsidRDefault="00991A49"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404040" w:themeFill="text1" w:themeFillTint="BF"/>
            <w:vAlign w:val="center"/>
            <w:hideMark/>
          </w:tcPr>
          <w:p w14:paraId="397F4A28" w14:textId="2679185E" w:rsidR="00991A49" w:rsidRPr="009A6217" w:rsidRDefault="00991A49"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404040" w:themeFill="text1" w:themeFillTint="BF"/>
            <w:vAlign w:val="center"/>
            <w:hideMark/>
          </w:tcPr>
          <w:p w14:paraId="634CB2A7" w14:textId="72DA9946" w:rsidR="00991A49" w:rsidRPr="009A6217" w:rsidRDefault="00991A49"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404040" w:themeFill="text1" w:themeFillTint="BF"/>
            <w:vAlign w:val="center"/>
            <w:hideMark/>
          </w:tcPr>
          <w:p w14:paraId="106E8D82" w14:textId="27625C22" w:rsidR="00991A49" w:rsidRPr="009A6217" w:rsidRDefault="00991A49"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404040" w:themeFill="text1" w:themeFillTint="BF"/>
            <w:vAlign w:val="center"/>
            <w:hideMark/>
          </w:tcPr>
          <w:p w14:paraId="7C3769B9" w14:textId="47833CCB" w:rsidR="00991A49" w:rsidRPr="009A6217" w:rsidRDefault="00991A49"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404040" w:themeFill="text1" w:themeFillTint="BF"/>
            <w:vAlign w:val="center"/>
            <w:hideMark/>
          </w:tcPr>
          <w:p w14:paraId="74DFD291" w14:textId="33BD15AC" w:rsidR="00991A49" w:rsidRPr="009A6217" w:rsidRDefault="00991A49"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404040" w:themeFill="text1" w:themeFillTint="BF"/>
            <w:vAlign w:val="center"/>
            <w:hideMark/>
          </w:tcPr>
          <w:p w14:paraId="499E0853" w14:textId="17593902" w:rsidR="00991A49" w:rsidRPr="009A6217" w:rsidRDefault="00991A49"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404040" w:themeFill="text1" w:themeFillTint="BF"/>
            <w:vAlign w:val="center"/>
            <w:hideMark/>
          </w:tcPr>
          <w:p w14:paraId="4EB23789" w14:textId="18D65338" w:rsidR="00991A49" w:rsidRPr="009A6217" w:rsidRDefault="00991A49" w:rsidP="005D6E8C">
            <w:pPr>
              <w:spacing w:after="0" w:line="240" w:lineRule="auto"/>
              <w:jc w:val="center"/>
              <w:rPr>
                <w:rFonts w:ascii="Calibri" w:eastAsia="Times New Roman" w:hAnsi="Calibri" w:cs="Times New Roman"/>
                <w:b/>
                <w:bCs/>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26096561" w14:textId="77777777" w:rsidR="00991A49" w:rsidRPr="009A6217" w:rsidRDefault="00991A49"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r>
      <w:tr w:rsidR="009A6217" w:rsidRPr="009A6217" w14:paraId="61FF071E" w14:textId="77777777" w:rsidTr="005D6E8C">
        <w:trPr>
          <w:trHeight w:val="29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271FD491" w14:textId="77777777" w:rsidR="009A6217" w:rsidRPr="009A6217" w:rsidRDefault="009A6217" w:rsidP="005D6E8C">
            <w:pPr>
              <w:spacing w:after="0" w:line="240" w:lineRule="auto"/>
              <w:rPr>
                <w:rFonts w:ascii="Calibri" w:eastAsia="Times New Roman" w:hAnsi="Calibri" w:cs="Times New Roman"/>
                <w:color w:val="000000"/>
              </w:rPr>
            </w:pPr>
            <w:r w:rsidRPr="009A6217">
              <w:rPr>
                <w:rFonts w:ascii="Calibri" w:eastAsia="Times New Roman" w:hAnsi="Calibri" w:cs="Times New Roman"/>
                <w:color w:val="000000"/>
              </w:rPr>
              <w:t>Tennessee Valley Authority</w:t>
            </w:r>
          </w:p>
        </w:tc>
        <w:tc>
          <w:tcPr>
            <w:tcW w:w="476" w:type="dxa"/>
            <w:tcBorders>
              <w:top w:val="nil"/>
              <w:left w:val="nil"/>
              <w:bottom w:val="single" w:sz="8" w:space="0" w:color="auto"/>
              <w:right w:val="single" w:sz="8" w:space="0" w:color="auto"/>
            </w:tcBorders>
            <w:shd w:val="clear" w:color="000000" w:fill="404040"/>
            <w:vAlign w:val="center"/>
            <w:hideMark/>
          </w:tcPr>
          <w:p w14:paraId="0B2A9260"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auto"/>
            <w:vAlign w:val="center"/>
            <w:hideMark/>
          </w:tcPr>
          <w:p w14:paraId="7B3E1C3A"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18CDD57C"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2B83A5A1"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7475D213"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670912C5"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6221F0BF"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single" w:sz="8" w:space="0" w:color="auto"/>
              <w:right w:val="single" w:sz="8" w:space="0" w:color="auto"/>
            </w:tcBorders>
            <w:shd w:val="clear" w:color="auto" w:fill="auto"/>
            <w:vAlign w:val="center"/>
            <w:hideMark/>
          </w:tcPr>
          <w:p w14:paraId="4B1DBFC7"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single" w:sz="8" w:space="0" w:color="auto"/>
              <w:right w:val="single" w:sz="8" w:space="0" w:color="auto"/>
            </w:tcBorders>
            <w:shd w:val="clear" w:color="auto" w:fill="auto"/>
            <w:vAlign w:val="center"/>
            <w:hideMark/>
          </w:tcPr>
          <w:p w14:paraId="4F5320D1"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431EBE81" w14:textId="77777777" w:rsidR="009A6217" w:rsidRPr="009A6217" w:rsidRDefault="009A6217" w:rsidP="005D6E8C">
            <w:pPr>
              <w:spacing w:after="0" w:line="240" w:lineRule="auto"/>
              <w:jc w:val="center"/>
              <w:rPr>
                <w:rFonts w:ascii="Calibri" w:eastAsia="Times New Roman" w:hAnsi="Calibri" w:cs="Times New Roman"/>
                <w:b/>
                <w:bCs/>
                <w:color w:val="000000"/>
              </w:rPr>
            </w:pPr>
            <w:r w:rsidRPr="009A6217">
              <w:rPr>
                <w:rFonts w:ascii="Calibri" w:eastAsia="Times New Roman" w:hAnsi="Calibri" w:cs="Times New Roman"/>
                <w:b/>
                <w:bCs/>
                <w:color w:val="000000"/>
              </w:rPr>
              <w:t> </w:t>
            </w:r>
          </w:p>
        </w:tc>
        <w:tc>
          <w:tcPr>
            <w:tcW w:w="476" w:type="dxa"/>
            <w:tcBorders>
              <w:top w:val="nil"/>
              <w:left w:val="nil"/>
              <w:bottom w:val="single" w:sz="8" w:space="0" w:color="auto"/>
              <w:right w:val="single" w:sz="8" w:space="0" w:color="auto"/>
            </w:tcBorders>
            <w:shd w:val="clear" w:color="auto" w:fill="auto"/>
            <w:vAlign w:val="center"/>
            <w:hideMark/>
          </w:tcPr>
          <w:p w14:paraId="0D7F26C5"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r>
      <w:tr w:rsidR="009A6217" w:rsidRPr="009A6217" w14:paraId="1B455377" w14:textId="77777777" w:rsidTr="005D6E8C">
        <w:trPr>
          <w:trHeight w:val="298"/>
        </w:trPr>
        <w:tc>
          <w:tcPr>
            <w:tcW w:w="5210" w:type="dxa"/>
            <w:tcBorders>
              <w:top w:val="nil"/>
              <w:left w:val="single" w:sz="8" w:space="0" w:color="auto"/>
              <w:bottom w:val="double" w:sz="6" w:space="0" w:color="auto"/>
              <w:right w:val="single" w:sz="8" w:space="0" w:color="auto"/>
            </w:tcBorders>
            <w:shd w:val="clear" w:color="auto" w:fill="auto"/>
            <w:vAlign w:val="center"/>
            <w:hideMark/>
          </w:tcPr>
          <w:p w14:paraId="0FC0E28B" w14:textId="77777777" w:rsidR="009A6217" w:rsidRPr="009A6217" w:rsidRDefault="009A6217" w:rsidP="005D6E8C">
            <w:pPr>
              <w:spacing w:after="0" w:line="240" w:lineRule="auto"/>
              <w:rPr>
                <w:rFonts w:ascii="Calibri" w:eastAsia="Times New Roman" w:hAnsi="Calibri" w:cs="Times New Roman"/>
                <w:color w:val="000000"/>
              </w:rPr>
            </w:pPr>
            <w:r w:rsidRPr="009A6217">
              <w:rPr>
                <w:rFonts w:ascii="Calibri" w:eastAsia="Times New Roman" w:hAnsi="Calibri" w:cs="Times New Roman"/>
                <w:color w:val="000000"/>
              </w:rPr>
              <w:t xml:space="preserve">U.S. Institute for Environmental Conflict Resolution </w:t>
            </w:r>
          </w:p>
        </w:tc>
        <w:tc>
          <w:tcPr>
            <w:tcW w:w="476" w:type="dxa"/>
            <w:tcBorders>
              <w:top w:val="nil"/>
              <w:left w:val="nil"/>
              <w:bottom w:val="double" w:sz="6" w:space="0" w:color="auto"/>
              <w:right w:val="single" w:sz="8" w:space="0" w:color="auto"/>
            </w:tcBorders>
            <w:shd w:val="clear" w:color="auto" w:fill="auto"/>
            <w:vAlign w:val="center"/>
            <w:hideMark/>
          </w:tcPr>
          <w:p w14:paraId="75BF9D66"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double" w:sz="6" w:space="0" w:color="auto"/>
              <w:right w:val="single" w:sz="8" w:space="0" w:color="auto"/>
            </w:tcBorders>
            <w:shd w:val="clear" w:color="000000" w:fill="404040"/>
            <w:vAlign w:val="center"/>
            <w:hideMark/>
          </w:tcPr>
          <w:p w14:paraId="53064704"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double" w:sz="6" w:space="0" w:color="auto"/>
              <w:right w:val="single" w:sz="8" w:space="0" w:color="auto"/>
            </w:tcBorders>
            <w:shd w:val="clear" w:color="000000" w:fill="404040"/>
            <w:vAlign w:val="center"/>
            <w:hideMark/>
          </w:tcPr>
          <w:p w14:paraId="32DF5320"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double" w:sz="6" w:space="0" w:color="auto"/>
              <w:right w:val="single" w:sz="8" w:space="0" w:color="auto"/>
            </w:tcBorders>
            <w:shd w:val="clear" w:color="000000" w:fill="404040"/>
            <w:vAlign w:val="center"/>
            <w:hideMark/>
          </w:tcPr>
          <w:p w14:paraId="3C84B0F7"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double" w:sz="6" w:space="0" w:color="auto"/>
              <w:right w:val="single" w:sz="8" w:space="0" w:color="auto"/>
            </w:tcBorders>
            <w:shd w:val="clear" w:color="000000" w:fill="404040"/>
            <w:vAlign w:val="center"/>
            <w:hideMark/>
          </w:tcPr>
          <w:p w14:paraId="4985D25D"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double" w:sz="6" w:space="0" w:color="auto"/>
              <w:right w:val="single" w:sz="8" w:space="0" w:color="auto"/>
            </w:tcBorders>
            <w:shd w:val="clear" w:color="000000" w:fill="404040"/>
            <w:vAlign w:val="center"/>
            <w:hideMark/>
          </w:tcPr>
          <w:p w14:paraId="2DE4236F"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double" w:sz="6" w:space="0" w:color="auto"/>
              <w:right w:val="single" w:sz="8" w:space="0" w:color="auto"/>
            </w:tcBorders>
            <w:shd w:val="clear" w:color="000000" w:fill="404040"/>
            <w:vAlign w:val="center"/>
            <w:hideMark/>
          </w:tcPr>
          <w:p w14:paraId="24303783"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9" w:type="dxa"/>
            <w:tcBorders>
              <w:top w:val="nil"/>
              <w:left w:val="nil"/>
              <w:bottom w:val="double" w:sz="6" w:space="0" w:color="auto"/>
              <w:right w:val="single" w:sz="8" w:space="0" w:color="auto"/>
            </w:tcBorders>
            <w:shd w:val="clear" w:color="000000" w:fill="404040"/>
            <w:vAlign w:val="center"/>
            <w:hideMark/>
          </w:tcPr>
          <w:p w14:paraId="68CE5C6D"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82" w:type="dxa"/>
            <w:tcBorders>
              <w:top w:val="nil"/>
              <w:left w:val="nil"/>
              <w:bottom w:val="double" w:sz="6" w:space="0" w:color="auto"/>
              <w:right w:val="single" w:sz="8" w:space="0" w:color="auto"/>
            </w:tcBorders>
            <w:shd w:val="clear" w:color="000000" w:fill="404040"/>
            <w:vAlign w:val="center"/>
            <w:hideMark/>
          </w:tcPr>
          <w:p w14:paraId="4FBCB882"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double" w:sz="6" w:space="0" w:color="auto"/>
              <w:right w:val="single" w:sz="8" w:space="0" w:color="auto"/>
            </w:tcBorders>
            <w:shd w:val="clear" w:color="auto" w:fill="auto"/>
            <w:vAlign w:val="center"/>
            <w:hideMark/>
          </w:tcPr>
          <w:p w14:paraId="15FF372F"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c>
          <w:tcPr>
            <w:tcW w:w="476" w:type="dxa"/>
            <w:tcBorders>
              <w:top w:val="nil"/>
              <w:left w:val="nil"/>
              <w:bottom w:val="double" w:sz="6" w:space="0" w:color="auto"/>
              <w:right w:val="single" w:sz="8" w:space="0" w:color="auto"/>
            </w:tcBorders>
            <w:shd w:val="clear" w:color="auto" w:fill="auto"/>
            <w:vAlign w:val="center"/>
            <w:hideMark/>
          </w:tcPr>
          <w:p w14:paraId="7AF4C563"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 </w:t>
            </w:r>
          </w:p>
        </w:tc>
      </w:tr>
      <w:tr w:rsidR="009A6217" w:rsidRPr="009A6217" w14:paraId="3BA868D0" w14:textId="77777777" w:rsidTr="005D6E8C">
        <w:trPr>
          <w:trHeight w:val="29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4D9FB04E" w14:textId="77777777" w:rsidR="009A6217" w:rsidRPr="009A6217" w:rsidRDefault="009A6217" w:rsidP="005D6E8C">
            <w:pPr>
              <w:spacing w:after="0" w:line="240" w:lineRule="auto"/>
              <w:rPr>
                <w:rFonts w:ascii="Calibri" w:eastAsia="Times New Roman" w:hAnsi="Calibri" w:cs="Times New Roman"/>
                <w:color w:val="000000"/>
              </w:rPr>
            </w:pPr>
            <w:r w:rsidRPr="009A6217">
              <w:rPr>
                <w:rFonts w:ascii="Calibri" w:eastAsia="Times New Roman" w:hAnsi="Calibri" w:cs="Times New Roman"/>
                <w:color w:val="000000"/>
              </w:rPr>
              <w:t>TOTAL (sum)</w:t>
            </w:r>
          </w:p>
        </w:tc>
        <w:tc>
          <w:tcPr>
            <w:tcW w:w="476" w:type="dxa"/>
            <w:tcBorders>
              <w:top w:val="nil"/>
              <w:left w:val="nil"/>
              <w:bottom w:val="single" w:sz="8" w:space="0" w:color="auto"/>
              <w:right w:val="single" w:sz="8" w:space="0" w:color="auto"/>
            </w:tcBorders>
            <w:shd w:val="clear" w:color="auto" w:fill="auto"/>
            <w:vAlign w:val="center"/>
            <w:hideMark/>
          </w:tcPr>
          <w:p w14:paraId="023B8365"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23</w:t>
            </w:r>
          </w:p>
        </w:tc>
        <w:tc>
          <w:tcPr>
            <w:tcW w:w="482" w:type="dxa"/>
            <w:tcBorders>
              <w:top w:val="nil"/>
              <w:left w:val="nil"/>
              <w:bottom w:val="single" w:sz="8" w:space="0" w:color="auto"/>
              <w:right w:val="single" w:sz="8" w:space="0" w:color="auto"/>
            </w:tcBorders>
            <w:shd w:val="clear" w:color="auto" w:fill="auto"/>
            <w:vAlign w:val="center"/>
            <w:hideMark/>
          </w:tcPr>
          <w:p w14:paraId="402C721D"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23</w:t>
            </w:r>
          </w:p>
        </w:tc>
        <w:tc>
          <w:tcPr>
            <w:tcW w:w="489" w:type="dxa"/>
            <w:tcBorders>
              <w:top w:val="nil"/>
              <w:left w:val="nil"/>
              <w:bottom w:val="single" w:sz="8" w:space="0" w:color="auto"/>
              <w:right w:val="single" w:sz="8" w:space="0" w:color="auto"/>
            </w:tcBorders>
            <w:shd w:val="clear" w:color="auto" w:fill="auto"/>
            <w:vAlign w:val="center"/>
            <w:hideMark/>
          </w:tcPr>
          <w:p w14:paraId="042293C4"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21</w:t>
            </w:r>
          </w:p>
        </w:tc>
        <w:tc>
          <w:tcPr>
            <w:tcW w:w="489" w:type="dxa"/>
            <w:tcBorders>
              <w:top w:val="nil"/>
              <w:left w:val="nil"/>
              <w:bottom w:val="single" w:sz="8" w:space="0" w:color="auto"/>
              <w:right w:val="single" w:sz="8" w:space="0" w:color="auto"/>
            </w:tcBorders>
            <w:shd w:val="clear" w:color="auto" w:fill="auto"/>
            <w:vAlign w:val="center"/>
            <w:hideMark/>
          </w:tcPr>
          <w:p w14:paraId="3D8B666C"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18</w:t>
            </w:r>
          </w:p>
        </w:tc>
        <w:tc>
          <w:tcPr>
            <w:tcW w:w="489" w:type="dxa"/>
            <w:tcBorders>
              <w:top w:val="nil"/>
              <w:left w:val="nil"/>
              <w:bottom w:val="single" w:sz="8" w:space="0" w:color="auto"/>
              <w:right w:val="single" w:sz="8" w:space="0" w:color="auto"/>
            </w:tcBorders>
            <w:shd w:val="clear" w:color="auto" w:fill="auto"/>
            <w:vAlign w:val="center"/>
            <w:hideMark/>
          </w:tcPr>
          <w:p w14:paraId="27E51B1F"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16</w:t>
            </w:r>
          </w:p>
        </w:tc>
        <w:tc>
          <w:tcPr>
            <w:tcW w:w="489" w:type="dxa"/>
            <w:tcBorders>
              <w:top w:val="nil"/>
              <w:left w:val="nil"/>
              <w:bottom w:val="single" w:sz="8" w:space="0" w:color="auto"/>
              <w:right w:val="single" w:sz="8" w:space="0" w:color="auto"/>
            </w:tcBorders>
            <w:shd w:val="clear" w:color="auto" w:fill="auto"/>
            <w:vAlign w:val="center"/>
            <w:hideMark/>
          </w:tcPr>
          <w:p w14:paraId="1B4E3E98"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15</w:t>
            </w:r>
          </w:p>
        </w:tc>
        <w:tc>
          <w:tcPr>
            <w:tcW w:w="489" w:type="dxa"/>
            <w:tcBorders>
              <w:top w:val="nil"/>
              <w:left w:val="nil"/>
              <w:bottom w:val="single" w:sz="8" w:space="0" w:color="auto"/>
              <w:right w:val="single" w:sz="8" w:space="0" w:color="auto"/>
            </w:tcBorders>
            <w:shd w:val="clear" w:color="auto" w:fill="auto"/>
            <w:vAlign w:val="center"/>
            <w:hideMark/>
          </w:tcPr>
          <w:p w14:paraId="23C407E4"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15</w:t>
            </w:r>
          </w:p>
        </w:tc>
        <w:tc>
          <w:tcPr>
            <w:tcW w:w="489" w:type="dxa"/>
            <w:tcBorders>
              <w:top w:val="nil"/>
              <w:left w:val="nil"/>
              <w:bottom w:val="single" w:sz="8" w:space="0" w:color="auto"/>
              <w:right w:val="single" w:sz="8" w:space="0" w:color="auto"/>
            </w:tcBorders>
            <w:shd w:val="clear" w:color="auto" w:fill="auto"/>
            <w:vAlign w:val="center"/>
            <w:hideMark/>
          </w:tcPr>
          <w:p w14:paraId="326F71EC"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17</w:t>
            </w:r>
          </w:p>
        </w:tc>
        <w:tc>
          <w:tcPr>
            <w:tcW w:w="482" w:type="dxa"/>
            <w:tcBorders>
              <w:top w:val="nil"/>
              <w:left w:val="nil"/>
              <w:bottom w:val="single" w:sz="8" w:space="0" w:color="auto"/>
              <w:right w:val="single" w:sz="8" w:space="0" w:color="auto"/>
            </w:tcBorders>
            <w:shd w:val="clear" w:color="auto" w:fill="auto"/>
            <w:vAlign w:val="center"/>
            <w:hideMark/>
          </w:tcPr>
          <w:p w14:paraId="78723822"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14</w:t>
            </w:r>
          </w:p>
        </w:tc>
        <w:tc>
          <w:tcPr>
            <w:tcW w:w="476" w:type="dxa"/>
            <w:tcBorders>
              <w:top w:val="nil"/>
              <w:left w:val="nil"/>
              <w:bottom w:val="single" w:sz="8" w:space="0" w:color="auto"/>
              <w:right w:val="single" w:sz="8" w:space="0" w:color="auto"/>
            </w:tcBorders>
            <w:shd w:val="clear" w:color="auto" w:fill="auto"/>
            <w:vAlign w:val="center"/>
            <w:hideMark/>
          </w:tcPr>
          <w:p w14:paraId="50E0628B" w14:textId="77777777"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15</w:t>
            </w:r>
          </w:p>
        </w:tc>
        <w:tc>
          <w:tcPr>
            <w:tcW w:w="476" w:type="dxa"/>
            <w:tcBorders>
              <w:top w:val="nil"/>
              <w:left w:val="nil"/>
              <w:bottom w:val="single" w:sz="8" w:space="0" w:color="auto"/>
              <w:right w:val="single" w:sz="8" w:space="0" w:color="auto"/>
            </w:tcBorders>
            <w:shd w:val="clear" w:color="auto" w:fill="auto"/>
            <w:vAlign w:val="center"/>
            <w:hideMark/>
          </w:tcPr>
          <w:p w14:paraId="4B314171" w14:textId="0508C8E4" w:rsidR="009A6217" w:rsidRPr="009A6217" w:rsidRDefault="009A6217" w:rsidP="005D6E8C">
            <w:pPr>
              <w:spacing w:after="0" w:line="240" w:lineRule="auto"/>
              <w:jc w:val="center"/>
              <w:rPr>
                <w:rFonts w:ascii="Calibri" w:eastAsia="Times New Roman" w:hAnsi="Calibri" w:cs="Times New Roman"/>
                <w:color w:val="000000"/>
              </w:rPr>
            </w:pPr>
            <w:r w:rsidRPr="009A6217">
              <w:rPr>
                <w:rFonts w:ascii="Calibri" w:eastAsia="Times New Roman" w:hAnsi="Calibri" w:cs="Times New Roman"/>
                <w:color w:val="000000"/>
              </w:rPr>
              <w:t>1</w:t>
            </w:r>
            <w:r w:rsidR="00964388">
              <w:rPr>
                <w:rFonts w:ascii="Calibri" w:eastAsia="Times New Roman" w:hAnsi="Calibri" w:cs="Times New Roman"/>
                <w:color w:val="000000"/>
              </w:rPr>
              <w:t>3</w:t>
            </w:r>
          </w:p>
        </w:tc>
      </w:tr>
    </w:tbl>
    <w:p w14:paraId="0F261A1B" w14:textId="77777777" w:rsidR="005D6E8C" w:rsidRPr="005D6E8C" w:rsidRDefault="005D6E8C" w:rsidP="005D6E8C">
      <w:pPr>
        <w:spacing w:after="0"/>
        <w:ind w:left="-540"/>
        <w:rPr>
          <w:rFonts w:eastAsiaTheme="minorHAnsi"/>
        </w:rPr>
      </w:pPr>
      <w:r w:rsidRPr="005D6E8C">
        <w:rPr>
          <w:rFonts w:eastAsiaTheme="minorHAnsi"/>
        </w:rPr>
        <w:t>Nine (9) agencies have submitted reports each year from fiscal year 2006 through fiscal year 2016, including:</w:t>
      </w:r>
    </w:p>
    <w:p w14:paraId="43C42EBD" w14:textId="77777777" w:rsidR="005D6E8C" w:rsidRPr="005D6E8C" w:rsidRDefault="005D6E8C" w:rsidP="005D6E8C">
      <w:pPr>
        <w:numPr>
          <w:ilvl w:val="0"/>
          <w:numId w:val="37"/>
        </w:numPr>
        <w:spacing w:after="0"/>
        <w:ind w:left="-90"/>
        <w:contextualSpacing/>
        <w:rPr>
          <w:rFonts w:eastAsiaTheme="minorHAnsi"/>
        </w:rPr>
      </w:pPr>
      <w:r w:rsidRPr="005D6E8C">
        <w:rPr>
          <w:rFonts w:eastAsiaTheme="minorHAnsi"/>
        </w:rPr>
        <w:t xml:space="preserve">Department of the Navy </w:t>
      </w:r>
    </w:p>
    <w:p w14:paraId="5841D396" w14:textId="77777777" w:rsidR="005D6E8C" w:rsidRPr="005D6E8C" w:rsidRDefault="005D6E8C" w:rsidP="005D6E8C">
      <w:pPr>
        <w:numPr>
          <w:ilvl w:val="0"/>
          <w:numId w:val="37"/>
        </w:numPr>
        <w:spacing w:after="0"/>
        <w:ind w:left="-90"/>
        <w:contextualSpacing/>
        <w:rPr>
          <w:rFonts w:eastAsiaTheme="minorHAnsi"/>
        </w:rPr>
      </w:pPr>
      <w:r w:rsidRPr="005D6E8C">
        <w:rPr>
          <w:rFonts w:eastAsiaTheme="minorHAnsi"/>
        </w:rPr>
        <w:t>Air Force</w:t>
      </w:r>
    </w:p>
    <w:p w14:paraId="705F13E8" w14:textId="77777777" w:rsidR="005D6E8C" w:rsidRPr="005D6E8C" w:rsidRDefault="005D6E8C" w:rsidP="005D6E8C">
      <w:pPr>
        <w:numPr>
          <w:ilvl w:val="0"/>
          <w:numId w:val="37"/>
        </w:numPr>
        <w:spacing w:after="0"/>
        <w:ind w:left="-90"/>
        <w:contextualSpacing/>
        <w:rPr>
          <w:rFonts w:eastAsiaTheme="minorHAnsi"/>
        </w:rPr>
      </w:pPr>
      <w:r w:rsidRPr="005D6E8C">
        <w:rPr>
          <w:rFonts w:eastAsiaTheme="minorHAnsi"/>
        </w:rPr>
        <w:t>U.S. Army Corps of Engineers</w:t>
      </w:r>
    </w:p>
    <w:p w14:paraId="0A8B9323" w14:textId="77777777" w:rsidR="005D6E8C" w:rsidRPr="005D6E8C" w:rsidRDefault="005D6E8C" w:rsidP="005D6E8C">
      <w:pPr>
        <w:numPr>
          <w:ilvl w:val="0"/>
          <w:numId w:val="37"/>
        </w:numPr>
        <w:spacing w:after="0"/>
        <w:ind w:left="-90"/>
        <w:contextualSpacing/>
        <w:rPr>
          <w:rFonts w:eastAsiaTheme="minorHAnsi"/>
        </w:rPr>
      </w:pPr>
      <w:r w:rsidRPr="005D6E8C">
        <w:rPr>
          <w:rFonts w:eastAsiaTheme="minorHAnsi"/>
        </w:rPr>
        <w:t>Department of Energy</w:t>
      </w:r>
    </w:p>
    <w:p w14:paraId="27984FE7" w14:textId="77777777" w:rsidR="005D6E8C" w:rsidRPr="005D6E8C" w:rsidRDefault="005D6E8C" w:rsidP="005D6E8C">
      <w:pPr>
        <w:numPr>
          <w:ilvl w:val="0"/>
          <w:numId w:val="37"/>
        </w:numPr>
        <w:spacing w:after="0"/>
        <w:ind w:left="-90"/>
        <w:contextualSpacing/>
        <w:rPr>
          <w:rFonts w:eastAsiaTheme="minorHAnsi"/>
        </w:rPr>
      </w:pPr>
      <w:r w:rsidRPr="005D6E8C">
        <w:rPr>
          <w:rFonts w:eastAsiaTheme="minorHAnsi"/>
        </w:rPr>
        <w:t>Department of the Interior</w:t>
      </w:r>
    </w:p>
    <w:p w14:paraId="193E0E83" w14:textId="77777777" w:rsidR="005D6E8C" w:rsidRPr="005D6E8C" w:rsidRDefault="005D6E8C" w:rsidP="005D6E8C">
      <w:pPr>
        <w:numPr>
          <w:ilvl w:val="0"/>
          <w:numId w:val="37"/>
        </w:numPr>
        <w:spacing w:after="0"/>
        <w:ind w:left="-90"/>
        <w:contextualSpacing/>
        <w:rPr>
          <w:rFonts w:eastAsiaTheme="minorHAnsi"/>
        </w:rPr>
      </w:pPr>
      <w:r w:rsidRPr="005D6E8C">
        <w:rPr>
          <w:rFonts w:eastAsiaTheme="minorHAnsi"/>
        </w:rPr>
        <w:t>Department of Veterans Affairs</w:t>
      </w:r>
    </w:p>
    <w:p w14:paraId="7CBF76E7" w14:textId="77777777" w:rsidR="005D6E8C" w:rsidRPr="005D6E8C" w:rsidRDefault="005D6E8C" w:rsidP="005D6E8C">
      <w:pPr>
        <w:numPr>
          <w:ilvl w:val="0"/>
          <w:numId w:val="37"/>
        </w:numPr>
        <w:spacing w:after="0"/>
        <w:ind w:left="-90"/>
        <w:contextualSpacing/>
        <w:rPr>
          <w:rFonts w:eastAsiaTheme="minorHAnsi"/>
        </w:rPr>
      </w:pPr>
      <w:r w:rsidRPr="005D6E8C">
        <w:rPr>
          <w:rFonts w:eastAsiaTheme="minorHAnsi"/>
        </w:rPr>
        <w:t>Environmental Protection Agency</w:t>
      </w:r>
    </w:p>
    <w:p w14:paraId="5841686A" w14:textId="77777777" w:rsidR="005D6E8C" w:rsidRPr="005D6E8C" w:rsidRDefault="005D6E8C" w:rsidP="005D6E8C">
      <w:pPr>
        <w:numPr>
          <w:ilvl w:val="0"/>
          <w:numId w:val="37"/>
        </w:numPr>
        <w:spacing w:after="0"/>
        <w:ind w:left="-90"/>
        <w:contextualSpacing/>
        <w:rPr>
          <w:rFonts w:eastAsiaTheme="minorHAnsi"/>
        </w:rPr>
      </w:pPr>
      <w:r w:rsidRPr="005D6E8C">
        <w:rPr>
          <w:rFonts w:eastAsiaTheme="minorHAnsi"/>
        </w:rPr>
        <w:t>Federal Energy Regulatory Commission</w:t>
      </w:r>
    </w:p>
    <w:p w14:paraId="604F84F2" w14:textId="0AE0E62F" w:rsidR="005D6E8C" w:rsidRDefault="005D6E8C" w:rsidP="005D6E8C">
      <w:pPr>
        <w:numPr>
          <w:ilvl w:val="0"/>
          <w:numId w:val="37"/>
        </w:numPr>
        <w:spacing w:after="0"/>
        <w:ind w:left="-90"/>
        <w:contextualSpacing/>
        <w:rPr>
          <w:rFonts w:eastAsiaTheme="minorHAnsi"/>
        </w:rPr>
      </w:pPr>
      <w:r w:rsidRPr="005D6E8C">
        <w:rPr>
          <w:rFonts w:eastAsiaTheme="minorHAnsi"/>
        </w:rPr>
        <w:t>National Oceanic and Atmospheric Administration</w:t>
      </w:r>
    </w:p>
    <w:p w14:paraId="70EB5158" w14:textId="77777777" w:rsidR="005D6E8C" w:rsidRPr="005D6E8C" w:rsidRDefault="005D6E8C" w:rsidP="005D6E8C">
      <w:pPr>
        <w:spacing w:after="0"/>
        <w:ind w:left="-90"/>
        <w:contextualSpacing/>
        <w:rPr>
          <w:rFonts w:eastAsiaTheme="minorHAnsi"/>
          <w:sz w:val="16"/>
          <w:szCs w:val="16"/>
        </w:rPr>
      </w:pPr>
    </w:p>
    <w:p w14:paraId="48850F3F" w14:textId="479B7E06" w:rsidR="005D6E8C" w:rsidRDefault="005D6E8C" w:rsidP="005D6E8C">
      <w:pPr>
        <w:ind w:left="-540"/>
        <w:rPr>
          <w:rFonts w:eastAsiaTheme="minorHAnsi"/>
        </w:rPr>
      </w:pPr>
      <w:r>
        <w:rPr>
          <w:rFonts w:eastAsiaTheme="minorHAnsi"/>
        </w:rPr>
        <w:t>Table 1 below shows agency submission by year for those agencies that have not submitted a report for each fiscal year since 2006.</w:t>
      </w:r>
    </w:p>
    <w:p w14:paraId="461C02A0" w14:textId="77777777" w:rsidR="009A6217" w:rsidRPr="009A6217" w:rsidRDefault="009A6217" w:rsidP="009A6217">
      <w:pPr>
        <w:ind w:left="-900"/>
        <w:rPr>
          <w:rFonts w:eastAsiaTheme="minorHAnsi"/>
          <w:b/>
          <w:u w:val="single"/>
        </w:rPr>
      </w:pPr>
    </w:p>
    <w:p w14:paraId="3B9D90F6" w14:textId="77777777" w:rsidR="009A6217" w:rsidRPr="009A6217" w:rsidRDefault="009A6217" w:rsidP="009A6217">
      <w:pPr>
        <w:rPr>
          <w:rFonts w:eastAsiaTheme="minorHAnsi"/>
        </w:rPr>
      </w:pPr>
    </w:p>
    <w:p w14:paraId="17885CCC" w14:textId="77777777" w:rsidR="00D66896" w:rsidRDefault="00D66896" w:rsidP="009A6217">
      <w:pPr>
        <w:rPr>
          <w:rFonts w:eastAsiaTheme="minorHAnsi"/>
          <w:b/>
          <w:u w:val="single"/>
        </w:rPr>
      </w:pPr>
    </w:p>
    <w:p w14:paraId="26CF093B" w14:textId="65876DB3" w:rsidR="009A6217" w:rsidRDefault="009A6217" w:rsidP="009A6217">
      <w:pPr>
        <w:rPr>
          <w:rFonts w:eastAsiaTheme="minorHAnsi"/>
          <w:b/>
          <w:u w:val="single"/>
        </w:rPr>
      </w:pPr>
      <w:r w:rsidRPr="009A6217">
        <w:rPr>
          <w:rFonts w:eastAsiaTheme="minorHAnsi"/>
          <w:b/>
          <w:u w:val="single"/>
        </w:rPr>
        <w:lastRenderedPageBreak/>
        <w:t>Table 2:  Number of Agency Reports Submitted by Year</w:t>
      </w:r>
    </w:p>
    <w:p w14:paraId="08146000" w14:textId="3608BF6D" w:rsidR="00A84FB5" w:rsidRPr="00A84FB5" w:rsidRDefault="00A84FB5" w:rsidP="009A6217">
      <w:pPr>
        <w:rPr>
          <w:rFonts w:eastAsiaTheme="minorHAnsi"/>
        </w:rPr>
      </w:pPr>
      <w:r>
        <w:rPr>
          <w:rFonts w:eastAsiaTheme="minorHAnsi"/>
        </w:rPr>
        <w:t xml:space="preserve">The number of agencies submitting reports each year declined from 23 in FY 2007 to 13 in FY 2016. </w:t>
      </w:r>
    </w:p>
    <w:p w14:paraId="6FA1EA6E" w14:textId="15E4181A" w:rsidR="009A6217" w:rsidRPr="009A6217" w:rsidRDefault="009A6217" w:rsidP="009A6217">
      <w:pPr>
        <w:spacing w:after="0"/>
        <w:rPr>
          <w:rFonts w:eastAsiaTheme="minorHAnsi"/>
        </w:rPr>
      </w:pPr>
      <w:r w:rsidRPr="009A6217">
        <w:rPr>
          <w:rFonts w:eastAsiaTheme="minorHAnsi"/>
          <w:noProof/>
        </w:rPr>
        <w:t xml:space="preserve"> </w:t>
      </w:r>
      <w:r w:rsidR="00B61AB3">
        <w:rPr>
          <w:noProof/>
        </w:rPr>
        <w:drawing>
          <wp:inline distT="0" distB="0" distL="0" distR="0" wp14:anchorId="378F494D" wp14:editId="01FBFC9E">
            <wp:extent cx="4572000" cy="2654300"/>
            <wp:effectExtent l="0" t="0" r="0" b="12700"/>
            <wp:docPr id="4" name="Chart 4">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97C3DF" w14:textId="135ECCFF" w:rsidR="009A6217" w:rsidRPr="009A6217" w:rsidRDefault="009A6217" w:rsidP="009A6217">
      <w:pPr>
        <w:ind w:left="720"/>
        <w:contextualSpacing/>
        <w:rPr>
          <w:rFonts w:eastAsiaTheme="minorHAnsi"/>
        </w:rPr>
      </w:pPr>
    </w:p>
    <w:p w14:paraId="30420D9E" w14:textId="77777777" w:rsidR="009A6217" w:rsidRPr="009A6217" w:rsidRDefault="009A6217" w:rsidP="009A6217">
      <w:pPr>
        <w:contextualSpacing/>
        <w:rPr>
          <w:rFonts w:eastAsiaTheme="minorHAnsi"/>
          <w:b/>
          <w:u w:val="single"/>
        </w:rPr>
      </w:pPr>
      <w:r w:rsidRPr="009A6217">
        <w:rPr>
          <w:rFonts w:eastAsiaTheme="minorHAnsi"/>
          <w:b/>
          <w:u w:val="single"/>
        </w:rPr>
        <w:t xml:space="preserve">Context for ECCR Use </w:t>
      </w:r>
    </w:p>
    <w:p w14:paraId="71112470" w14:textId="4622F9CB" w:rsidR="009A6217" w:rsidRPr="009A6217" w:rsidRDefault="009A6217" w:rsidP="009A6217">
      <w:pPr>
        <w:rPr>
          <w:rFonts w:eastAsiaTheme="minorHAnsi"/>
        </w:rPr>
      </w:pPr>
      <w:r w:rsidRPr="009A6217">
        <w:rPr>
          <w:rFonts w:eastAsiaTheme="minorHAnsi"/>
        </w:rPr>
        <w:t>Over the past 10 years, ECCR has been most commonly u</w:t>
      </w:r>
      <w:r w:rsidR="00542646">
        <w:rPr>
          <w:rFonts w:eastAsiaTheme="minorHAnsi"/>
        </w:rPr>
        <w:t>sed</w:t>
      </w:r>
      <w:r w:rsidRPr="009A6217">
        <w:rPr>
          <w:rFonts w:eastAsiaTheme="minorHAnsi"/>
        </w:rPr>
        <w:t xml:space="preserve"> across the federal government as a tool to address compliance and enforcement, implementation and monitoring agreements, and planning efforts. </w:t>
      </w:r>
      <w:r w:rsidR="00542646">
        <w:rPr>
          <w:rFonts w:eastAsiaTheme="minorHAnsi"/>
        </w:rPr>
        <w:t>From 2007-2016,</w:t>
      </w:r>
      <w:r w:rsidRPr="009A6217">
        <w:rPr>
          <w:rFonts w:eastAsiaTheme="minorHAnsi"/>
        </w:rPr>
        <w:t xml:space="preserve"> the percentage of agencies </w:t>
      </w:r>
      <w:r w:rsidR="00135B98">
        <w:rPr>
          <w:rFonts w:eastAsiaTheme="minorHAnsi"/>
        </w:rPr>
        <w:t>using ECCR for planning efforts g</w:t>
      </w:r>
      <w:r w:rsidR="00542646">
        <w:rPr>
          <w:rFonts w:eastAsiaTheme="minorHAnsi"/>
        </w:rPr>
        <w:t xml:space="preserve">rew from </w:t>
      </w:r>
      <w:r w:rsidR="00135B98">
        <w:rPr>
          <w:rFonts w:eastAsiaTheme="minorHAnsi"/>
        </w:rPr>
        <w:t>20% in</w:t>
      </w:r>
      <w:r w:rsidRPr="009A6217">
        <w:rPr>
          <w:rFonts w:eastAsiaTheme="minorHAnsi"/>
        </w:rPr>
        <w:t xml:space="preserve"> 2007, </w:t>
      </w:r>
      <w:r w:rsidR="00135B98">
        <w:rPr>
          <w:rFonts w:eastAsiaTheme="minorHAnsi"/>
        </w:rPr>
        <w:t xml:space="preserve">to 26% in 2016. </w:t>
      </w:r>
    </w:p>
    <w:p w14:paraId="39AFC5D0" w14:textId="2640C179" w:rsidR="009A6217" w:rsidRPr="009A6217" w:rsidRDefault="009A6217" w:rsidP="009A6217">
      <w:pPr>
        <w:rPr>
          <w:rFonts w:eastAsiaTheme="minorHAnsi"/>
        </w:rPr>
      </w:pPr>
      <w:r w:rsidRPr="009A6217">
        <w:rPr>
          <w:rFonts w:eastAsiaTheme="minorHAnsi"/>
        </w:rPr>
        <w:t xml:space="preserve">ECCR used in the context of policy </w:t>
      </w:r>
      <w:r w:rsidR="00135B98" w:rsidRPr="009A6217">
        <w:rPr>
          <w:rFonts w:eastAsiaTheme="minorHAnsi"/>
        </w:rPr>
        <w:t xml:space="preserve">making </w:t>
      </w:r>
      <w:r w:rsidR="00AE50E0">
        <w:rPr>
          <w:rFonts w:eastAsiaTheme="minorHAnsi"/>
        </w:rPr>
        <w:t xml:space="preserve">generally </w:t>
      </w:r>
      <w:r w:rsidR="00135B98" w:rsidRPr="009A6217">
        <w:rPr>
          <w:rFonts w:eastAsiaTheme="minorHAnsi"/>
        </w:rPr>
        <w:t>decreased</w:t>
      </w:r>
      <w:r w:rsidR="00542646">
        <w:rPr>
          <w:rFonts w:eastAsiaTheme="minorHAnsi"/>
        </w:rPr>
        <w:t xml:space="preserve"> from 2007</w:t>
      </w:r>
      <w:r w:rsidR="00AE50E0">
        <w:rPr>
          <w:rFonts w:eastAsiaTheme="minorHAnsi"/>
        </w:rPr>
        <w:t>, when it was first tracked, to 2015</w:t>
      </w:r>
      <w:r w:rsidRPr="009A6217">
        <w:rPr>
          <w:rFonts w:eastAsiaTheme="minorHAnsi"/>
        </w:rPr>
        <w:t>. In 2007, 12% of cases report</w:t>
      </w:r>
      <w:r w:rsidR="00135B98">
        <w:rPr>
          <w:rFonts w:eastAsiaTheme="minorHAnsi"/>
        </w:rPr>
        <w:t>ed using ECCR in this context, by</w:t>
      </w:r>
      <w:r w:rsidRPr="009A6217">
        <w:rPr>
          <w:rFonts w:eastAsiaTheme="minorHAnsi"/>
        </w:rPr>
        <w:t xml:space="preserve"> 2015, </w:t>
      </w:r>
      <w:r w:rsidR="00135B98">
        <w:rPr>
          <w:rFonts w:eastAsiaTheme="minorHAnsi"/>
        </w:rPr>
        <w:t>this had decreased to</w:t>
      </w:r>
      <w:r w:rsidRPr="009A6217">
        <w:rPr>
          <w:rFonts w:eastAsiaTheme="minorHAnsi"/>
        </w:rPr>
        <w:t xml:space="preserve"> 3% of </w:t>
      </w:r>
      <w:r w:rsidR="00135B98">
        <w:rPr>
          <w:rFonts w:eastAsiaTheme="minorHAnsi"/>
        </w:rPr>
        <w:t>cases. In 2016 ECCR use in the po</w:t>
      </w:r>
      <w:r w:rsidR="007E2FCA">
        <w:rPr>
          <w:rFonts w:eastAsiaTheme="minorHAnsi"/>
        </w:rPr>
        <w:t xml:space="preserve">licy context was back up to 12%. </w:t>
      </w:r>
      <w:r w:rsidR="00135B98">
        <w:rPr>
          <w:rFonts w:eastAsiaTheme="minorHAnsi"/>
        </w:rPr>
        <w:t xml:space="preserve"> </w:t>
      </w:r>
    </w:p>
    <w:p w14:paraId="0C64C970" w14:textId="4F89A836" w:rsidR="009A6217" w:rsidRPr="009A6217" w:rsidRDefault="009A6217" w:rsidP="009A6217">
      <w:pPr>
        <w:rPr>
          <w:rFonts w:eastAsiaTheme="minorHAnsi"/>
        </w:rPr>
      </w:pPr>
      <w:r w:rsidRPr="009A6217">
        <w:rPr>
          <w:rFonts w:eastAsiaTheme="minorHAnsi"/>
        </w:rPr>
        <w:t xml:space="preserve">ECCR in the context of siting and construction </w:t>
      </w:r>
      <w:r w:rsidR="00213E58">
        <w:rPr>
          <w:rFonts w:eastAsiaTheme="minorHAnsi"/>
        </w:rPr>
        <w:t>had been increasing in the last few years except for 2016. In 2015, 26% of cases were related to siting and construction projects.</w:t>
      </w:r>
      <w:r w:rsidR="00542646">
        <w:rPr>
          <w:rFonts w:eastAsiaTheme="minorHAnsi"/>
        </w:rPr>
        <w:t xml:space="preserve"> </w:t>
      </w:r>
    </w:p>
    <w:p w14:paraId="1190977F" w14:textId="77777777" w:rsidR="009A6217" w:rsidRPr="009A6217" w:rsidRDefault="009A6217" w:rsidP="009A6217">
      <w:pPr>
        <w:rPr>
          <w:rFonts w:eastAsiaTheme="minorHAnsi"/>
          <w:b/>
          <w:u w:val="single"/>
        </w:rPr>
      </w:pPr>
      <w:r w:rsidRPr="009A6217">
        <w:rPr>
          <w:rFonts w:eastAsiaTheme="minorHAnsi"/>
          <w:b/>
          <w:u w:val="single"/>
        </w:rPr>
        <w:t>Decision-Making Forums for ECCR Applications</w:t>
      </w:r>
    </w:p>
    <w:p w14:paraId="73109363" w14:textId="77777777" w:rsidR="009A6217" w:rsidRPr="009A6217" w:rsidRDefault="009A6217" w:rsidP="009A6217">
      <w:pPr>
        <w:spacing w:after="0"/>
        <w:rPr>
          <w:rFonts w:eastAsiaTheme="minorHAnsi"/>
        </w:rPr>
      </w:pPr>
      <w:r w:rsidRPr="009A6217">
        <w:rPr>
          <w:rFonts w:eastAsiaTheme="minorHAnsi"/>
        </w:rPr>
        <w:t xml:space="preserve">Over the years, information has been collected on the decision-making forums involved in agency cases of ECCR.  Agencies have been asked to report on whether the ECCR case was in relation to </w:t>
      </w:r>
    </w:p>
    <w:p w14:paraId="5DF33C44" w14:textId="77777777" w:rsidR="009A6217" w:rsidRPr="009A6217" w:rsidRDefault="009A6217" w:rsidP="009A6217">
      <w:pPr>
        <w:spacing w:after="0"/>
        <w:rPr>
          <w:rFonts w:eastAsiaTheme="minorHAnsi"/>
        </w:rPr>
      </w:pPr>
      <w:r w:rsidRPr="009A6217">
        <w:rPr>
          <w:rFonts w:eastAsiaTheme="minorHAnsi"/>
        </w:rPr>
        <w:t xml:space="preserve">1) Federal Agency Decisions </w:t>
      </w:r>
    </w:p>
    <w:p w14:paraId="575BEDEB" w14:textId="77777777" w:rsidR="009A6217" w:rsidRPr="009A6217" w:rsidRDefault="009A6217" w:rsidP="009A6217">
      <w:pPr>
        <w:spacing w:after="0"/>
        <w:rPr>
          <w:rFonts w:eastAsiaTheme="minorHAnsi"/>
        </w:rPr>
      </w:pPr>
      <w:r w:rsidRPr="009A6217">
        <w:rPr>
          <w:rFonts w:eastAsiaTheme="minorHAnsi"/>
        </w:rPr>
        <w:t xml:space="preserve">2) Administrative Proceedings/Appeals </w:t>
      </w:r>
    </w:p>
    <w:p w14:paraId="7CC33BD1" w14:textId="77777777" w:rsidR="009A6217" w:rsidRPr="009A6217" w:rsidRDefault="009A6217" w:rsidP="009A6217">
      <w:pPr>
        <w:spacing w:after="0"/>
        <w:rPr>
          <w:rFonts w:eastAsiaTheme="minorHAnsi"/>
        </w:rPr>
      </w:pPr>
      <w:r w:rsidRPr="009A6217">
        <w:rPr>
          <w:rFonts w:eastAsiaTheme="minorHAnsi"/>
        </w:rPr>
        <w:t xml:space="preserve">3) Judicial Proceedings or </w:t>
      </w:r>
    </w:p>
    <w:p w14:paraId="68DAACE5" w14:textId="77777777" w:rsidR="009A6217" w:rsidRPr="009A6217" w:rsidRDefault="009A6217" w:rsidP="009A6217">
      <w:pPr>
        <w:rPr>
          <w:rFonts w:eastAsiaTheme="minorHAnsi"/>
        </w:rPr>
      </w:pPr>
      <w:r w:rsidRPr="009A6217">
        <w:rPr>
          <w:rFonts w:eastAsiaTheme="minorHAnsi"/>
        </w:rPr>
        <w:t>4) Other</w:t>
      </w:r>
    </w:p>
    <w:p w14:paraId="1889BE2E" w14:textId="5221E42A" w:rsidR="009A6217" w:rsidRPr="00166F59" w:rsidRDefault="009A6217" w:rsidP="009A6217">
      <w:pPr>
        <w:rPr>
          <w:rFonts w:eastAsiaTheme="minorHAnsi"/>
        </w:rPr>
      </w:pPr>
      <w:r w:rsidRPr="009A6217">
        <w:rPr>
          <w:rFonts w:eastAsiaTheme="minorHAnsi"/>
        </w:rPr>
        <w:t xml:space="preserve">Throughout the years, ECCR has been most widely used in cases that involved federal agency decisions. Consistently, the highest number of cases have fallen within this category each year. From 2015 to 2016, ECCR cases related to federal agency decisions increased 6%. </w:t>
      </w:r>
    </w:p>
    <w:p w14:paraId="77519C63" w14:textId="77777777" w:rsidR="009A6217" w:rsidRPr="009A6217" w:rsidRDefault="009A6217" w:rsidP="009A6217">
      <w:pPr>
        <w:rPr>
          <w:rFonts w:eastAsiaTheme="minorHAnsi"/>
          <w:b/>
          <w:u w:val="single"/>
        </w:rPr>
      </w:pPr>
      <w:r w:rsidRPr="009A6217">
        <w:rPr>
          <w:rFonts w:eastAsiaTheme="minorHAnsi"/>
          <w:b/>
          <w:u w:val="single"/>
        </w:rPr>
        <w:t xml:space="preserve">Benefits of ECCR </w:t>
      </w:r>
    </w:p>
    <w:p w14:paraId="65E94355" w14:textId="60EF2D64" w:rsidR="009A6217" w:rsidRPr="009A6217" w:rsidRDefault="009A6217" w:rsidP="009A6217">
      <w:pPr>
        <w:rPr>
          <w:rFonts w:eastAsiaTheme="minorHAnsi"/>
        </w:rPr>
      </w:pPr>
      <w:r w:rsidRPr="009A6217">
        <w:rPr>
          <w:rFonts w:eastAsiaTheme="minorHAnsi"/>
        </w:rPr>
        <w:t>Since FY</w:t>
      </w:r>
      <w:r w:rsidR="00213E58">
        <w:rPr>
          <w:rFonts w:eastAsiaTheme="minorHAnsi"/>
        </w:rPr>
        <w:t xml:space="preserve"> 20</w:t>
      </w:r>
      <w:r w:rsidRPr="009A6217">
        <w:rPr>
          <w:rFonts w:eastAsiaTheme="minorHAnsi"/>
        </w:rPr>
        <w:t xml:space="preserve">13, benefits </w:t>
      </w:r>
      <w:r w:rsidR="005D6E8C">
        <w:rPr>
          <w:rFonts w:eastAsiaTheme="minorHAnsi"/>
        </w:rPr>
        <w:t xml:space="preserve">reported every year </w:t>
      </w:r>
      <w:r w:rsidRPr="009A6217">
        <w:rPr>
          <w:rFonts w:eastAsiaTheme="minorHAnsi"/>
        </w:rPr>
        <w:t>have included better relationships, more efficient operations, increased communication</w:t>
      </w:r>
      <w:r w:rsidR="00FB5F52">
        <w:rPr>
          <w:rFonts w:eastAsiaTheme="minorHAnsi"/>
        </w:rPr>
        <w:t xml:space="preserve"> amongst parties involved in a collaborative process</w:t>
      </w:r>
      <w:r w:rsidRPr="009A6217">
        <w:rPr>
          <w:rFonts w:eastAsiaTheme="minorHAnsi"/>
        </w:rPr>
        <w:t xml:space="preserve">, and better </w:t>
      </w:r>
      <w:r w:rsidRPr="009A6217">
        <w:rPr>
          <w:rFonts w:eastAsiaTheme="minorHAnsi"/>
        </w:rPr>
        <w:lastRenderedPageBreak/>
        <w:t>and more durable outcomes. In addition, resource savings have been increasingly noted as a benefit</w:t>
      </w:r>
      <w:r w:rsidR="00A54D15">
        <w:rPr>
          <w:rFonts w:eastAsiaTheme="minorHAnsi"/>
        </w:rPr>
        <w:t xml:space="preserve"> arising</w:t>
      </w:r>
      <w:r w:rsidRPr="009A6217">
        <w:rPr>
          <w:rFonts w:eastAsiaTheme="minorHAnsi"/>
        </w:rPr>
        <w:t xml:space="preserve"> from better coordination</w:t>
      </w:r>
      <w:r w:rsidR="00FB5F52">
        <w:rPr>
          <w:rFonts w:eastAsiaTheme="minorHAnsi"/>
        </w:rPr>
        <w:t xml:space="preserve"> amongst parties</w:t>
      </w:r>
      <w:r w:rsidRPr="009A6217">
        <w:rPr>
          <w:rFonts w:eastAsiaTheme="minorHAnsi"/>
        </w:rPr>
        <w:t xml:space="preserve">, streamlined processes, and timelier dispute resolution, particularly </w:t>
      </w:r>
      <w:r w:rsidR="00A54D15">
        <w:rPr>
          <w:rFonts w:eastAsiaTheme="minorHAnsi"/>
        </w:rPr>
        <w:t>regarding</w:t>
      </w:r>
      <w:r w:rsidRPr="009A6217">
        <w:rPr>
          <w:rFonts w:eastAsiaTheme="minorHAnsi"/>
        </w:rPr>
        <w:t xml:space="preserve"> enforcement actions. </w:t>
      </w:r>
      <w:r w:rsidR="00A54D15">
        <w:rPr>
          <w:rFonts w:eastAsiaTheme="minorHAnsi"/>
        </w:rPr>
        <w:t xml:space="preserve"> </w:t>
      </w:r>
    </w:p>
    <w:p w14:paraId="20D815CC" w14:textId="77777777" w:rsidR="004766FB" w:rsidRPr="00F06D7A" w:rsidRDefault="004766FB" w:rsidP="00FB5F52">
      <w:pPr>
        <w:autoSpaceDE w:val="0"/>
        <w:autoSpaceDN w:val="0"/>
        <w:adjustRightInd w:val="0"/>
        <w:spacing w:after="0" w:line="240" w:lineRule="auto"/>
        <w:rPr>
          <w:rFonts w:ascii="Ebrima" w:hAnsi="Ebrima"/>
          <w:color w:val="000000"/>
          <w:sz w:val="20"/>
        </w:rPr>
      </w:pPr>
    </w:p>
    <w:sectPr w:rsidR="004766FB" w:rsidRPr="00F06D7A" w:rsidSect="00E512D1">
      <w:headerReference w:type="default" r:id="rId16"/>
      <w:footerReference w:type="default" r:id="rId17"/>
      <w:pgSz w:w="12240" w:h="15840"/>
      <w:pgMar w:top="1440" w:right="1440" w:bottom="1080" w:left="1440" w:header="720" w:footer="3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1D081" w14:textId="77777777" w:rsidR="00DD0762" w:rsidRDefault="00DD0762" w:rsidP="009A438C">
      <w:pPr>
        <w:spacing w:after="0" w:line="240" w:lineRule="auto"/>
      </w:pPr>
      <w:r>
        <w:separator/>
      </w:r>
    </w:p>
  </w:endnote>
  <w:endnote w:type="continuationSeparator" w:id="0">
    <w:p w14:paraId="16CBC7A4" w14:textId="77777777" w:rsidR="00DD0762" w:rsidRDefault="00DD0762" w:rsidP="009A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44B85" w14:textId="13E2B3E1" w:rsidR="00DD0762" w:rsidRPr="00B32524" w:rsidRDefault="00DD0762" w:rsidP="000E194E">
    <w:pPr>
      <w:tabs>
        <w:tab w:val="center" w:pos="4550"/>
        <w:tab w:val="left" w:pos="5818"/>
      </w:tabs>
      <w:jc w:val="right"/>
      <w:rPr>
        <w:color w:val="222A35" w:themeColor="text2" w:themeShade="80"/>
        <w:sz w:val="18"/>
        <w:szCs w:val="18"/>
      </w:rPr>
    </w:pPr>
    <w:r w:rsidRPr="00B32524">
      <w:rPr>
        <w:color w:val="8496B0" w:themeColor="text2" w:themeTint="99"/>
        <w:sz w:val="18"/>
        <w:szCs w:val="18"/>
      </w:rPr>
      <w:t xml:space="preserve">Page </w:t>
    </w:r>
    <w:r w:rsidRPr="00B32524">
      <w:rPr>
        <w:color w:val="323E4F" w:themeColor="text2" w:themeShade="BF"/>
        <w:sz w:val="18"/>
        <w:szCs w:val="18"/>
      </w:rPr>
      <w:fldChar w:fldCharType="begin"/>
    </w:r>
    <w:r w:rsidRPr="00B32524">
      <w:rPr>
        <w:color w:val="323E4F" w:themeColor="text2" w:themeShade="BF"/>
        <w:sz w:val="18"/>
        <w:szCs w:val="18"/>
      </w:rPr>
      <w:instrText xml:space="preserve"> PAGE   \* MERGEFORMAT </w:instrText>
    </w:r>
    <w:r w:rsidRPr="00B32524">
      <w:rPr>
        <w:color w:val="323E4F" w:themeColor="text2" w:themeShade="BF"/>
        <w:sz w:val="18"/>
        <w:szCs w:val="18"/>
      </w:rPr>
      <w:fldChar w:fldCharType="separate"/>
    </w:r>
    <w:r w:rsidR="009D4E41">
      <w:rPr>
        <w:noProof/>
        <w:color w:val="323E4F" w:themeColor="text2" w:themeShade="BF"/>
        <w:sz w:val="18"/>
        <w:szCs w:val="18"/>
      </w:rPr>
      <w:t>15</w:t>
    </w:r>
    <w:r w:rsidRPr="00B32524">
      <w:rPr>
        <w:color w:val="323E4F" w:themeColor="text2" w:themeShade="BF"/>
        <w:sz w:val="18"/>
        <w:szCs w:val="18"/>
      </w:rPr>
      <w:fldChar w:fldCharType="end"/>
    </w:r>
    <w:r w:rsidRPr="00B32524">
      <w:rPr>
        <w:color w:val="323E4F" w:themeColor="text2" w:themeShade="BF"/>
        <w:sz w:val="18"/>
        <w:szCs w:val="18"/>
      </w:rPr>
      <w:t xml:space="preserve"> | </w:t>
    </w:r>
    <w:r w:rsidRPr="00B32524">
      <w:rPr>
        <w:color w:val="323E4F" w:themeColor="text2" w:themeShade="BF"/>
        <w:sz w:val="18"/>
        <w:szCs w:val="18"/>
      </w:rPr>
      <w:fldChar w:fldCharType="begin"/>
    </w:r>
    <w:r w:rsidRPr="00B32524">
      <w:rPr>
        <w:color w:val="323E4F" w:themeColor="text2" w:themeShade="BF"/>
        <w:sz w:val="18"/>
        <w:szCs w:val="18"/>
      </w:rPr>
      <w:instrText xml:space="preserve"> NUMPAGES  \* Arabic  \* MERGEFORMAT </w:instrText>
    </w:r>
    <w:r w:rsidRPr="00B32524">
      <w:rPr>
        <w:color w:val="323E4F" w:themeColor="text2" w:themeShade="BF"/>
        <w:sz w:val="18"/>
        <w:szCs w:val="18"/>
      </w:rPr>
      <w:fldChar w:fldCharType="separate"/>
    </w:r>
    <w:r w:rsidR="009D4E41">
      <w:rPr>
        <w:noProof/>
        <w:color w:val="323E4F" w:themeColor="text2" w:themeShade="BF"/>
        <w:sz w:val="18"/>
        <w:szCs w:val="18"/>
      </w:rPr>
      <w:t>15</w:t>
    </w:r>
    <w:r w:rsidRPr="00B32524">
      <w:rPr>
        <w:color w:val="323E4F" w:themeColor="text2"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97BB1" w14:textId="77777777" w:rsidR="00DD0762" w:rsidRDefault="00DD0762" w:rsidP="009A438C">
      <w:pPr>
        <w:spacing w:after="0" w:line="240" w:lineRule="auto"/>
      </w:pPr>
      <w:r>
        <w:separator/>
      </w:r>
    </w:p>
  </w:footnote>
  <w:footnote w:type="continuationSeparator" w:id="0">
    <w:p w14:paraId="27BF4B52" w14:textId="77777777" w:rsidR="00DD0762" w:rsidRDefault="00DD0762" w:rsidP="009A438C">
      <w:pPr>
        <w:spacing w:after="0" w:line="240" w:lineRule="auto"/>
      </w:pPr>
      <w:r>
        <w:continuationSeparator/>
      </w:r>
    </w:p>
  </w:footnote>
  <w:footnote w:id="1">
    <w:p w14:paraId="28F9B762" w14:textId="5A7F7B3D" w:rsidR="00DD0762" w:rsidRDefault="00DD0762">
      <w:pPr>
        <w:pStyle w:val="FootnoteText"/>
      </w:pPr>
      <w:r>
        <w:rPr>
          <w:rStyle w:val="FootnoteReference"/>
        </w:rPr>
        <w:footnoteRef/>
      </w:r>
      <w:r>
        <w:t xml:space="preserve"> </w:t>
      </w:r>
      <w:r w:rsidRPr="001C6FA5">
        <w:rPr>
          <w:noProof/>
          <w:sz w:val="16"/>
          <w:szCs w:val="16"/>
        </w:rPr>
        <w:t>Office of Management and Budget, &amp; Council on Environmental Qua</w:t>
      </w:r>
      <w:r>
        <w:rPr>
          <w:noProof/>
          <w:sz w:val="16"/>
          <w:szCs w:val="16"/>
        </w:rPr>
        <w:t xml:space="preserve">lity </w:t>
      </w:r>
      <w:r w:rsidRPr="001C6FA5">
        <w:rPr>
          <w:noProof/>
          <w:sz w:val="16"/>
          <w:szCs w:val="16"/>
        </w:rPr>
        <w:t xml:space="preserve">(2012). </w:t>
      </w:r>
      <w:r w:rsidRPr="001C6FA5">
        <w:rPr>
          <w:i/>
          <w:noProof/>
          <w:sz w:val="16"/>
          <w:szCs w:val="16"/>
        </w:rPr>
        <w:t>Memorandum on Environmental Collaboration and Conflict Resolution</w:t>
      </w:r>
      <w:r w:rsidRPr="001C6FA5">
        <w:rPr>
          <w:noProof/>
          <w:sz w:val="16"/>
          <w:szCs w:val="16"/>
        </w:rPr>
        <w:t>. Washington, D.C.</w:t>
      </w:r>
      <w:r>
        <w:rPr>
          <w:noProof/>
          <w:sz w:val="16"/>
          <w:szCs w:val="16"/>
        </w:rPr>
        <w:t xml:space="preserve"> </w:t>
      </w:r>
      <w:r w:rsidRPr="00D000F2">
        <w:rPr>
          <w:sz w:val="16"/>
          <w:szCs w:val="16"/>
        </w:rPr>
        <w:t>The 2012 m</w:t>
      </w:r>
      <w:r>
        <w:rPr>
          <w:sz w:val="16"/>
          <w:szCs w:val="16"/>
        </w:rPr>
        <w:t xml:space="preserve">emorandum is available online here: </w:t>
      </w:r>
      <w:hyperlink r:id="rId1" w:history="1">
        <w:r w:rsidRPr="000F5AD8">
          <w:rPr>
            <w:rStyle w:val="Hyperlink"/>
            <w:sz w:val="16"/>
            <w:szCs w:val="16"/>
          </w:rPr>
          <w:t>http://www.udall.gov/documents/Institute/OMB_CEQ_Memorandum_2012.pdf</w:t>
        </w:r>
      </w:hyperlink>
      <w:r>
        <w:rPr>
          <w:rStyle w:val="Hyperlink"/>
          <w:sz w:val="16"/>
          <w:szCs w:val="16"/>
        </w:rPr>
        <w:t>.</w:t>
      </w:r>
    </w:p>
  </w:footnote>
  <w:footnote w:id="2">
    <w:p w14:paraId="498CFD4E" w14:textId="72277F86" w:rsidR="00DD0762" w:rsidRDefault="00DD0762" w:rsidP="005550E5">
      <w:pPr>
        <w:pStyle w:val="FootnoteText"/>
      </w:pPr>
      <w:r>
        <w:rPr>
          <w:rStyle w:val="FootnoteReference"/>
        </w:rPr>
        <w:footnoteRef/>
      </w:r>
      <w:r>
        <w:t xml:space="preserve"> </w:t>
      </w:r>
      <w:bookmarkStart w:id="0" w:name="_Hlk494973538"/>
      <w:r>
        <w:rPr>
          <w:noProof/>
          <w:sz w:val="16"/>
          <w:szCs w:val="16"/>
        </w:rPr>
        <w:t>Ibid.</w:t>
      </w:r>
      <w:r>
        <w:rPr>
          <w:sz w:val="16"/>
          <w:szCs w:val="16"/>
        </w:rPr>
        <w:t xml:space="preserve"> </w:t>
      </w:r>
      <w:bookmarkEnd w:id="0"/>
    </w:p>
  </w:footnote>
  <w:footnote w:id="3">
    <w:p w14:paraId="274D4A19" w14:textId="737094A9" w:rsidR="00DD0762" w:rsidRPr="001C6FA5" w:rsidRDefault="00DD0762" w:rsidP="001C6FA5">
      <w:pPr>
        <w:pStyle w:val="FootnoteText"/>
        <w:ind w:left="108" w:hanging="108"/>
        <w:rPr>
          <w:noProof/>
          <w:sz w:val="16"/>
          <w:szCs w:val="16"/>
        </w:rPr>
      </w:pPr>
      <w:r>
        <w:rPr>
          <w:rStyle w:val="FootnoteReference"/>
        </w:rPr>
        <w:footnoteRef/>
      </w:r>
      <w:r>
        <w:rPr>
          <w:noProof/>
          <w:sz w:val="16"/>
          <w:szCs w:val="16"/>
        </w:rPr>
        <w:t xml:space="preserve">  Ibid.</w:t>
      </w:r>
    </w:p>
  </w:footnote>
  <w:footnote w:id="4">
    <w:p w14:paraId="752438A8" w14:textId="298B3528" w:rsidR="00DD0762" w:rsidRPr="00732BF4" w:rsidRDefault="00DD0762">
      <w:pPr>
        <w:pStyle w:val="FootnoteText"/>
        <w:rPr>
          <w:sz w:val="16"/>
          <w:szCs w:val="16"/>
        </w:rPr>
      </w:pPr>
      <w:r w:rsidRPr="00732BF4">
        <w:rPr>
          <w:rStyle w:val="FootnoteReference"/>
          <w:sz w:val="16"/>
          <w:szCs w:val="16"/>
        </w:rPr>
        <w:footnoteRef/>
      </w:r>
      <w:r w:rsidRPr="00732BF4">
        <w:rPr>
          <w:sz w:val="16"/>
          <w:szCs w:val="16"/>
        </w:rPr>
        <w:t xml:space="preserve"> </w:t>
      </w:r>
      <w:r>
        <w:rPr>
          <w:sz w:val="16"/>
          <w:szCs w:val="16"/>
        </w:rPr>
        <w:t xml:space="preserve">Agency totals include multi-agency cases that are reported individually by </w:t>
      </w:r>
      <w:r w:rsidRPr="00732BF4">
        <w:rPr>
          <w:sz w:val="16"/>
          <w:szCs w:val="16"/>
        </w:rPr>
        <w:t>each of the departments and agencies involved</w:t>
      </w:r>
      <w:r>
        <w:rPr>
          <w:sz w:val="16"/>
          <w:szCs w:val="16"/>
        </w:rPr>
        <w:t>, thus some cases may be double-counted.</w:t>
      </w:r>
      <w:r w:rsidRPr="00732BF4">
        <w:rPr>
          <w:sz w:val="16"/>
          <w:szCs w:val="16"/>
        </w:rPr>
        <w:t xml:space="preserve"> </w:t>
      </w:r>
      <w:r>
        <w:rPr>
          <w:sz w:val="16"/>
          <w:szCs w:val="16"/>
        </w:rPr>
        <w:t>USIECR</w:t>
      </w:r>
      <w:r w:rsidRPr="00732BF4">
        <w:rPr>
          <w:sz w:val="16"/>
          <w:szCs w:val="16"/>
        </w:rPr>
        <w:t xml:space="preserve">’s ECCR cases are </w:t>
      </w:r>
      <w:r>
        <w:rPr>
          <w:sz w:val="16"/>
          <w:szCs w:val="16"/>
        </w:rPr>
        <w:t>not included</w:t>
      </w:r>
      <w:r w:rsidRPr="00732BF4">
        <w:rPr>
          <w:sz w:val="16"/>
          <w:szCs w:val="16"/>
        </w:rPr>
        <w:t xml:space="preserve"> </w:t>
      </w:r>
      <w:r>
        <w:rPr>
          <w:sz w:val="16"/>
          <w:szCs w:val="16"/>
        </w:rPr>
        <w:t>as most should</w:t>
      </w:r>
      <w:r w:rsidRPr="00732BF4">
        <w:rPr>
          <w:sz w:val="16"/>
          <w:szCs w:val="16"/>
        </w:rPr>
        <w:t xml:space="preserve"> be </w:t>
      </w:r>
      <w:r>
        <w:rPr>
          <w:sz w:val="16"/>
          <w:szCs w:val="16"/>
        </w:rPr>
        <w:t>reported by</w:t>
      </w:r>
      <w:r w:rsidRPr="00732BF4">
        <w:rPr>
          <w:sz w:val="16"/>
          <w:szCs w:val="16"/>
        </w:rPr>
        <w:t xml:space="preserve"> other federal departments and agencies.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6F2E" w14:textId="10158398" w:rsidR="00DD0762" w:rsidRPr="00BC2AF8" w:rsidRDefault="00DD0762">
    <w:pPr>
      <w:pStyle w:val="Header"/>
      <w:rPr>
        <w:i/>
      </w:rPr>
    </w:pPr>
    <w:r w:rsidRPr="00BC2AF8">
      <w:rPr>
        <w:i/>
      </w:rPr>
      <w:tab/>
    </w:r>
    <w:r w:rsidRPr="00BC2AF8">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09F"/>
    <w:multiLevelType w:val="hybridMultilevel"/>
    <w:tmpl w:val="651696C8"/>
    <w:lvl w:ilvl="0" w:tplc="B5309152">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E1C39"/>
    <w:multiLevelType w:val="hybridMultilevel"/>
    <w:tmpl w:val="FEA4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D450A"/>
    <w:multiLevelType w:val="hybridMultilevel"/>
    <w:tmpl w:val="C60E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174D4"/>
    <w:multiLevelType w:val="hybridMultilevel"/>
    <w:tmpl w:val="63B47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D0C44"/>
    <w:multiLevelType w:val="hybridMultilevel"/>
    <w:tmpl w:val="CB0E8E54"/>
    <w:lvl w:ilvl="0" w:tplc="51A24CA0">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A3401"/>
    <w:multiLevelType w:val="hybridMultilevel"/>
    <w:tmpl w:val="1980A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A34AE"/>
    <w:multiLevelType w:val="hybridMultilevel"/>
    <w:tmpl w:val="8A1856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72A1"/>
    <w:multiLevelType w:val="hybridMultilevel"/>
    <w:tmpl w:val="AB429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A058A"/>
    <w:multiLevelType w:val="hybridMultilevel"/>
    <w:tmpl w:val="649C2C22"/>
    <w:lvl w:ilvl="0" w:tplc="04090005">
      <w:start w:val="1"/>
      <w:numFmt w:val="bullet"/>
      <w:lvlText w:val=""/>
      <w:lvlJc w:val="left"/>
      <w:pPr>
        <w:tabs>
          <w:tab w:val="num" w:pos="3420"/>
        </w:tabs>
        <w:ind w:left="3420" w:hanging="360"/>
      </w:pPr>
      <w:rPr>
        <w:rFonts w:ascii="Wingdings" w:hAnsi="Wingdings" w:hint="default"/>
      </w:rPr>
    </w:lvl>
    <w:lvl w:ilvl="1" w:tplc="04090003">
      <w:start w:val="1"/>
      <w:numFmt w:val="decimal"/>
      <w:lvlText w:val="%2."/>
      <w:lvlJc w:val="left"/>
      <w:pPr>
        <w:tabs>
          <w:tab w:val="num" w:pos="2970"/>
        </w:tabs>
        <w:ind w:left="2970" w:hanging="360"/>
      </w:pPr>
    </w:lvl>
    <w:lvl w:ilvl="2" w:tplc="04090005">
      <w:start w:val="1"/>
      <w:numFmt w:val="decimal"/>
      <w:lvlText w:val="%3."/>
      <w:lvlJc w:val="left"/>
      <w:pPr>
        <w:tabs>
          <w:tab w:val="num" w:pos="3600"/>
        </w:tabs>
        <w:ind w:left="3600" w:hanging="360"/>
      </w:p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9" w15:restartNumberingAfterBreak="0">
    <w:nsid w:val="1D9D43F9"/>
    <w:multiLevelType w:val="hybridMultilevel"/>
    <w:tmpl w:val="A0B83ACA"/>
    <w:lvl w:ilvl="0" w:tplc="51A24CA0">
      <w:start w:val="1"/>
      <w:numFmt w:val="bullet"/>
      <w:pStyle w:val="ListParagraph2"/>
      <w:lvlText w:val=""/>
      <w:lvlJc w:val="left"/>
      <w:pPr>
        <w:ind w:left="72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F7F75"/>
    <w:multiLevelType w:val="hybridMultilevel"/>
    <w:tmpl w:val="06762C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08A7E92"/>
    <w:multiLevelType w:val="hybridMultilevel"/>
    <w:tmpl w:val="DA1C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57CB8"/>
    <w:multiLevelType w:val="hybridMultilevel"/>
    <w:tmpl w:val="DF487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2616A"/>
    <w:multiLevelType w:val="hybridMultilevel"/>
    <w:tmpl w:val="D2581A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alibri"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alibri"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8106E2"/>
    <w:multiLevelType w:val="hybridMultilevel"/>
    <w:tmpl w:val="7DCC9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D3AA4"/>
    <w:multiLevelType w:val="hybridMultilevel"/>
    <w:tmpl w:val="4E78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F2122"/>
    <w:multiLevelType w:val="hybridMultilevel"/>
    <w:tmpl w:val="B93E0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D53525"/>
    <w:multiLevelType w:val="hybridMultilevel"/>
    <w:tmpl w:val="133073D8"/>
    <w:lvl w:ilvl="0" w:tplc="04090005">
      <w:start w:val="1"/>
      <w:numFmt w:val="bullet"/>
      <w:lvlText w:val=""/>
      <w:lvlJc w:val="left"/>
      <w:pPr>
        <w:ind w:left="720" w:hanging="360"/>
      </w:pPr>
      <w:rPr>
        <w:rFonts w:ascii="Wingdings" w:hAnsi="Wingdings" w:hint="default"/>
      </w:rPr>
    </w:lvl>
    <w:lvl w:ilvl="1" w:tplc="9022F8CC">
      <w:start w:val="3"/>
      <w:numFmt w:val="bullet"/>
      <w:lvlText w:val=""/>
      <w:lvlJc w:val="left"/>
      <w:pPr>
        <w:tabs>
          <w:tab w:val="num" w:pos="1980"/>
        </w:tabs>
        <w:ind w:left="1980" w:hanging="90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45CBB"/>
    <w:multiLevelType w:val="hybridMultilevel"/>
    <w:tmpl w:val="8AE4DC4E"/>
    <w:lvl w:ilvl="0" w:tplc="C5A848FC">
      <w:start w:val="1"/>
      <w:numFmt w:val="bullet"/>
      <w:lvlText w:val=""/>
      <w:lvlJc w:val="left"/>
      <w:pPr>
        <w:ind w:left="1080" w:hanging="360"/>
      </w:pPr>
      <w:rPr>
        <w:rFonts w:ascii="Wingdings" w:hAnsi="Wingdings"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346B46"/>
    <w:multiLevelType w:val="hybridMultilevel"/>
    <w:tmpl w:val="76D07AA2"/>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4D311E23"/>
    <w:multiLevelType w:val="hybridMultilevel"/>
    <w:tmpl w:val="D5D0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56743"/>
    <w:multiLevelType w:val="hybridMultilevel"/>
    <w:tmpl w:val="D0FE5AF8"/>
    <w:lvl w:ilvl="0" w:tplc="B546E040">
      <w:start w:val="1"/>
      <w:numFmt w:val="bullet"/>
      <w:lvlText w:val=""/>
      <w:lvlJc w:val="left"/>
      <w:pPr>
        <w:ind w:left="1080" w:hanging="360"/>
      </w:pPr>
      <w:rPr>
        <w:rFonts w:ascii="Wingdings" w:hAnsi="Wingdings" w:hint="default"/>
        <w:color w:val="auto"/>
        <w:sz w:val="20"/>
      </w:rPr>
    </w:lvl>
    <w:lvl w:ilvl="1" w:tplc="F60A88FE">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CC2AF6"/>
    <w:multiLevelType w:val="hybridMultilevel"/>
    <w:tmpl w:val="D0AE23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563D9"/>
    <w:multiLevelType w:val="hybridMultilevel"/>
    <w:tmpl w:val="6E10CA72"/>
    <w:lvl w:ilvl="0" w:tplc="9C90DC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A1825"/>
    <w:multiLevelType w:val="hybridMultilevel"/>
    <w:tmpl w:val="D2AEEC8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8078E4"/>
    <w:multiLevelType w:val="hybridMultilevel"/>
    <w:tmpl w:val="3D461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37684"/>
    <w:multiLevelType w:val="hybridMultilevel"/>
    <w:tmpl w:val="E250AA7E"/>
    <w:lvl w:ilvl="0" w:tplc="B546E040">
      <w:start w:val="1"/>
      <w:numFmt w:val="bullet"/>
      <w:lvlText w:val=""/>
      <w:lvlJc w:val="left"/>
      <w:pPr>
        <w:ind w:left="1080" w:hanging="360"/>
      </w:pPr>
      <w:rPr>
        <w:rFonts w:ascii="Wingdings" w:hAnsi="Wingdings" w:hint="default"/>
        <w:color w:val="auto"/>
        <w:sz w:val="20"/>
      </w:rPr>
    </w:lvl>
    <w:lvl w:ilvl="1" w:tplc="04090003">
      <w:start w:val="1"/>
      <w:numFmt w:val="bullet"/>
      <w:lvlText w:val="o"/>
      <w:lvlJc w:val="left"/>
      <w:pPr>
        <w:ind w:left="1800" w:hanging="360"/>
      </w:pPr>
      <w:rPr>
        <w:rFonts w:ascii="Courier New" w:hAnsi="Courier New" w:cs="Calibri"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4F30B8"/>
    <w:multiLevelType w:val="hybridMultilevel"/>
    <w:tmpl w:val="2ACAF484"/>
    <w:lvl w:ilvl="0" w:tplc="0409000B">
      <w:start w:val="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74576"/>
    <w:multiLevelType w:val="hybridMultilevel"/>
    <w:tmpl w:val="7C0EA6E0"/>
    <w:lvl w:ilvl="0" w:tplc="9C90DC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05143"/>
    <w:multiLevelType w:val="hybridMultilevel"/>
    <w:tmpl w:val="6C8C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C06C2F"/>
    <w:multiLevelType w:val="hybridMultilevel"/>
    <w:tmpl w:val="13D40DF6"/>
    <w:lvl w:ilvl="0" w:tplc="B546E040">
      <w:start w:val="1"/>
      <w:numFmt w:val="bullet"/>
      <w:lvlText w:val=""/>
      <w:lvlJc w:val="left"/>
      <w:pPr>
        <w:ind w:left="1080" w:hanging="360"/>
      </w:pPr>
      <w:rPr>
        <w:rFonts w:ascii="Wingdings" w:hAnsi="Wingdings" w:hint="default"/>
        <w:color w:val="auto"/>
        <w:sz w:val="20"/>
      </w:rPr>
    </w:lvl>
    <w:lvl w:ilvl="1" w:tplc="04090003">
      <w:start w:val="1"/>
      <w:numFmt w:val="bullet"/>
      <w:lvlText w:val="o"/>
      <w:lvlJc w:val="left"/>
      <w:pPr>
        <w:ind w:left="1800" w:hanging="360"/>
      </w:pPr>
      <w:rPr>
        <w:rFonts w:ascii="Courier New" w:hAnsi="Courier New" w:cs="Calibri"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6A7F47"/>
    <w:multiLevelType w:val="hybridMultilevel"/>
    <w:tmpl w:val="4E3CBE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01639"/>
    <w:multiLevelType w:val="hybridMultilevel"/>
    <w:tmpl w:val="6058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C63CB"/>
    <w:multiLevelType w:val="hybridMultilevel"/>
    <w:tmpl w:val="560C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028D0"/>
    <w:multiLevelType w:val="hybridMultilevel"/>
    <w:tmpl w:val="BB2E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97726A"/>
    <w:multiLevelType w:val="hybridMultilevel"/>
    <w:tmpl w:val="5464EA1A"/>
    <w:lvl w:ilvl="0" w:tplc="C5A848F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F4788"/>
    <w:multiLevelType w:val="hybridMultilevel"/>
    <w:tmpl w:val="F56C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4E3CF5"/>
    <w:multiLevelType w:val="hybridMultilevel"/>
    <w:tmpl w:val="8C8EA7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7"/>
  </w:num>
  <w:num w:numId="5">
    <w:abstractNumId w:val="18"/>
  </w:num>
  <w:num w:numId="6">
    <w:abstractNumId w:val="8"/>
  </w:num>
  <w:num w:numId="7">
    <w:abstractNumId w:val="23"/>
  </w:num>
  <w:num w:numId="8">
    <w:abstractNumId w:val="35"/>
  </w:num>
  <w:num w:numId="9">
    <w:abstractNumId w:val="14"/>
  </w:num>
  <w:num w:numId="10">
    <w:abstractNumId w:val="7"/>
  </w:num>
  <w:num w:numId="11">
    <w:abstractNumId w:val="28"/>
  </w:num>
  <w:num w:numId="12">
    <w:abstractNumId w:val="3"/>
  </w:num>
  <w:num w:numId="13">
    <w:abstractNumId w:val="5"/>
  </w:num>
  <w:num w:numId="14">
    <w:abstractNumId w:val="15"/>
  </w:num>
  <w:num w:numId="15">
    <w:abstractNumId w:val="22"/>
  </w:num>
  <w:num w:numId="16">
    <w:abstractNumId w:val="32"/>
  </w:num>
  <w:num w:numId="17">
    <w:abstractNumId w:val="31"/>
  </w:num>
  <w:num w:numId="18">
    <w:abstractNumId w:val="33"/>
  </w:num>
  <w:num w:numId="19">
    <w:abstractNumId w:val="37"/>
  </w:num>
  <w:num w:numId="20">
    <w:abstractNumId w:val="25"/>
  </w:num>
  <w:num w:numId="21">
    <w:abstractNumId w:val="21"/>
  </w:num>
  <w:num w:numId="22">
    <w:abstractNumId w:val="12"/>
  </w:num>
  <w:num w:numId="23">
    <w:abstractNumId w:val="9"/>
  </w:num>
  <w:num w:numId="24">
    <w:abstractNumId w:val="9"/>
  </w:num>
  <w:num w:numId="25">
    <w:abstractNumId w:val="4"/>
  </w:num>
  <w:num w:numId="26">
    <w:abstractNumId w:val="30"/>
  </w:num>
  <w:num w:numId="27">
    <w:abstractNumId w:val="0"/>
  </w:num>
  <w:num w:numId="28">
    <w:abstractNumId w:val="2"/>
  </w:num>
  <w:num w:numId="29">
    <w:abstractNumId w:val="10"/>
  </w:num>
  <w:num w:numId="30">
    <w:abstractNumId w:val="1"/>
  </w:num>
  <w:num w:numId="31">
    <w:abstractNumId w:val="11"/>
  </w:num>
  <w:num w:numId="32">
    <w:abstractNumId w:val="29"/>
  </w:num>
  <w:num w:numId="33">
    <w:abstractNumId w:val="16"/>
  </w:num>
  <w:num w:numId="34">
    <w:abstractNumId w:val="20"/>
  </w:num>
  <w:num w:numId="35">
    <w:abstractNumId w:val="34"/>
  </w:num>
  <w:num w:numId="36">
    <w:abstractNumId w:val="24"/>
  </w:num>
  <w:num w:numId="37">
    <w:abstractNumId w:val="36"/>
  </w:num>
  <w:num w:numId="38">
    <w:abstractNumId w:val="26"/>
  </w:num>
  <w:num w:numId="39">
    <w:abstractNumId w:val="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0sf0v20j9pewge9axrv50z6pp9sprtexrfv&quot;&gt;PBW Literature-Converted&lt;record-ids&gt;&lt;item&gt;5965&lt;/item&gt;&lt;/record-ids&gt;&lt;/item&gt;&lt;/Libraries&gt;"/>
  </w:docVars>
  <w:rsids>
    <w:rsidRoot w:val="007F415D"/>
    <w:rsid w:val="00002674"/>
    <w:rsid w:val="00002A2F"/>
    <w:rsid w:val="0000399E"/>
    <w:rsid w:val="00004E0B"/>
    <w:rsid w:val="00005ED4"/>
    <w:rsid w:val="00006E0B"/>
    <w:rsid w:val="00011A89"/>
    <w:rsid w:val="00012EA1"/>
    <w:rsid w:val="00013FE6"/>
    <w:rsid w:val="0001454D"/>
    <w:rsid w:val="00016A2D"/>
    <w:rsid w:val="00016BBB"/>
    <w:rsid w:val="000177E4"/>
    <w:rsid w:val="00021FC0"/>
    <w:rsid w:val="00023DD0"/>
    <w:rsid w:val="00023E06"/>
    <w:rsid w:val="000245FF"/>
    <w:rsid w:val="00024AF7"/>
    <w:rsid w:val="00025AC9"/>
    <w:rsid w:val="00030535"/>
    <w:rsid w:val="00030AA8"/>
    <w:rsid w:val="0003133F"/>
    <w:rsid w:val="0003254C"/>
    <w:rsid w:val="0003430F"/>
    <w:rsid w:val="00035455"/>
    <w:rsid w:val="00035731"/>
    <w:rsid w:val="00035B0B"/>
    <w:rsid w:val="00036A1F"/>
    <w:rsid w:val="00037E74"/>
    <w:rsid w:val="000449E0"/>
    <w:rsid w:val="000464E4"/>
    <w:rsid w:val="00050235"/>
    <w:rsid w:val="000521FC"/>
    <w:rsid w:val="00052404"/>
    <w:rsid w:val="0005420F"/>
    <w:rsid w:val="0005479D"/>
    <w:rsid w:val="00054BB1"/>
    <w:rsid w:val="0005551A"/>
    <w:rsid w:val="00060EFB"/>
    <w:rsid w:val="0006103D"/>
    <w:rsid w:val="00061467"/>
    <w:rsid w:val="000626C2"/>
    <w:rsid w:val="00062795"/>
    <w:rsid w:val="00064332"/>
    <w:rsid w:val="0006786A"/>
    <w:rsid w:val="000705F6"/>
    <w:rsid w:val="00073CA6"/>
    <w:rsid w:val="00074204"/>
    <w:rsid w:val="0007529B"/>
    <w:rsid w:val="0008084D"/>
    <w:rsid w:val="000815F0"/>
    <w:rsid w:val="00081B8D"/>
    <w:rsid w:val="000832BE"/>
    <w:rsid w:val="00084DA7"/>
    <w:rsid w:val="00087944"/>
    <w:rsid w:val="00090560"/>
    <w:rsid w:val="00094512"/>
    <w:rsid w:val="00096DE4"/>
    <w:rsid w:val="00096EBF"/>
    <w:rsid w:val="000A08C4"/>
    <w:rsid w:val="000A1897"/>
    <w:rsid w:val="000A4027"/>
    <w:rsid w:val="000A5F40"/>
    <w:rsid w:val="000A5FD4"/>
    <w:rsid w:val="000A6BD7"/>
    <w:rsid w:val="000B1765"/>
    <w:rsid w:val="000B1DAF"/>
    <w:rsid w:val="000B6B30"/>
    <w:rsid w:val="000C0041"/>
    <w:rsid w:val="000C13B7"/>
    <w:rsid w:val="000C342A"/>
    <w:rsid w:val="000C3456"/>
    <w:rsid w:val="000C454D"/>
    <w:rsid w:val="000C6D72"/>
    <w:rsid w:val="000C70C6"/>
    <w:rsid w:val="000D1355"/>
    <w:rsid w:val="000D33E0"/>
    <w:rsid w:val="000D6695"/>
    <w:rsid w:val="000E0EA6"/>
    <w:rsid w:val="000E194E"/>
    <w:rsid w:val="000E1D74"/>
    <w:rsid w:val="000E4029"/>
    <w:rsid w:val="000E4335"/>
    <w:rsid w:val="000E597F"/>
    <w:rsid w:val="000E5E01"/>
    <w:rsid w:val="000F0EE1"/>
    <w:rsid w:val="000F1767"/>
    <w:rsid w:val="000F5CE7"/>
    <w:rsid w:val="000F739E"/>
    <w:rsid w:val="000F7D35"/>
    <w:rsid w:val="0010059F"/>
    <w:rsid w:val="00102463"/>
    <w:rsid w:val="00102FBC"/>
    <w:rsid w:val="00103973"/>
    <w:rsid w:val="00105941"/>
    <w:rsid w:val="001071A7"/>
    <w:rsid w:val="0011370F"/>
    <w:rsid w:val="00114BFE"/>
    <w:rsid w:val="0011618C"/>
    <w:rsid w:val="00117C12"/>
    <w:rsid w:val="00122A24"/>
    <w:rsid w:val="00122EAC"/>
    <w:rsid w:val="00126967"/>
    <w:rsid w:val="001308CF"/>
    <w:rsid w:val="00132ED5"/>
    <w:rsid w:val="0013317D"/>
    <w:rsid w:val="00133490"/>
    <w:rsid w:val="00135B98"/>
    <w:rsid w:val="00140435"/>
    <w:rsid w:val="00140DAC"/>
    <w:rsid w:val="0014196D"/>
    <w:rsid w:val="00144BF9"/>
    <w:rsid w:val="001452B0"/>
    <w:rsid w:val="001473E0"/>
    <w:rsid w:val="00147C97"/>
    <w:rsid w:val="001515B1"/>
    <w:rsid w:val="001534D3"/>
    <w:rsid w:val="001552EA"/>
    <w:rsid w:val="001566E0"/>
    <w:rsid w:val="00160504"/>
    <w:rsid w:val="001640C9"/>
    <w:rsid w:val="001647EE"/>
    <w:rsid w:val="00166CE5"/>
    <w:rsid w:val="00166F59"/>
    <w:rsid w:val="00171396"/>
    <w:rsid w:val="00175E9A"/>
    <w:rsid w:val="00181649"/>
    <w:rsid w:val="0018678B"/>
    <w:rsid w:val="00186DDE"/>
    <w:rsid w:val="00186E1C"/>
    <w:rsid w:val="001876F4"/>
    <w:rsid w:val="0018793B"/>
    <w:rsid w:val="001906CE"/>
    <w:rsid w:val="0019081B"/>
    <w:rsid w:val="00191321"/>
    <w:rsid w:val="00192068"/>
    <w:rsid w:val="00192D45"/>
    <w:rsid w:val="00192DD0"/>
    <w:rsid w:val="001953F0"/>
    <w:rsid w:val="00197B91"/>
    <w:rsid w:val="001A09CC"/>
    <w:rsid w:val="001A2067"/>
    <w:rsid w:val="001A425E"/>
    <w:rsid w:val="001B0482"/>
    <w:rsid w:val="001B1396"/>
    <w:rsid w:val="001B390C"/>
    <w:rsid w:val="001B3AF2"/>
    <w:rsid w:val="001B44BD"/>
    <w:rsid w:val="001B4555"/>
    <w:rsid w:val="001B4A33"/>
    <w:rsid w:val="001B5024"/>
    <w:rsid w:val="001C05C3"/>
    <w:rsid w:val="001C266B"/>
    <w:rsid w:val="001C2EF6"/>
    <w:rsid w:val="001C3D6C"/>
    <w:rsid w:val="001C47B9"/>
    <w:rsid w:val="001C48FD"/>
    <w:rsid w:val="001C5265"/>
    <w:rsid w:val="001C6FA5"/>
    <w:rsid w:val="001D365A"/>
    <w:rsid w:val="001D3B50"/>
    <w:rsid w:val="001D5266"/>
    <w:rsid w:val="001D6CD7"/>
    <w:rsid w:val="001D792D"/>
    <w:rsid w:val="001E082D"/>
    <w:rsid w:val="001E3316"/>
    <w:rsid w:val="001E36A5"/>
    <w:rsid w:val="001E56AF"/>
    <w:rsid w:val="001E581C"/>
    <w:rsid w:val="001E6AC4"/>
    <w:rsid w:val="001E6F47"/>
    <w:rsid w:val="001E70DC"/>
    <w:rsid w:val="001E7700"/>
    <w:rsid w:val="001F0690"/>
    <w:rsid w:val="001F1539"/>
    <w:rsid w:val="001F7024"/>
    <w:rsid w:val="00200D38"/>
    <w:rsid w:val="00202410"/>
    <w:rsid w:val="00205B06"/>
    <w:rsid w:val="002063E1"/>
    <w:rsid w:val="0021064C"/>
    <w:rsid w:val="00211C94"/>
    <w:rsid w:val="00213E58"/>
    <w:rsid w:val="00222B1D"/>
    <w:rsid w:val="0022300B"/>
    <w:rsid w:val="00224C0F"/>
    <w:rsid w:val="0023453A"/>
    <w:rsid w:val="00236E6B"/>
    <w:rsid w:val="00240896"/>
    <w:rsid w:val="002410A0"/>
    <w:rsid w:val="002456E9"/>
    <w:rsid w:val="00245B70"/>
    <w:rsid w:val="00246994"/>
    <w:rsid w:val="00250A03"/>
    <w:rsid w:val="00250EBE"/>
    <w:rsid w:val="0025147F"/>
    <w:rsid w:val="00252CC3"/>
    <w:rsid w:val="00256E75"/>
    <w:rsid w:val="00257901"/>
    <w:rsid w:val="00261B68"/>
    <w:rsid w:val="002628E7"/>
    <w:rsid w:val="00263817"/>
    <w:rsid w:val="002640A4"/>
    <w:rsid w:val="0027101A"/>
    <w:rsid w:val="00271DED"/>
    <w:rsid w:val="00275891"/>
    <w:rsid w:val="00277EB3"/>
    <w:rsid w:val="00277FEA"/>
    <w:rsid w:val="00280504"/>
    <w:rsid w:val="00283519"/>
    <w:rsid w:val="00290090"/>
    <w:rsid w:val="00290DB0"/>
    <w:rsid w:val="00291155"/>
    <w:rsid w:val="00291315"/>
    <w:rsid w:val="00292271"/>
    <w:rsid w:val="002939FE"/>
    <w:rsid w:val="00294CED"/>
    <w:rsid w:val="002966D7"/>
    <w:rsid w:val="002A0F53"/>
    <w:rsid w:val="002A112C"/>
    <w:rsid w:val="002A1A9D"/>
    <w:rsid w:val="002A1CC7"/>
    <w:rsid w:val="002A414F"/>
    <w:rsid w:val="002A4C20"/>
    <w:rsid w:val="002A4E27"/>
    <w:rsid w:val="002A50A2"/>
    <w:rsid w:val="002A524A"/>
    <w:rsid w:val="002A70CD"/>
    <w:rsid w:val="002B0043"/>
    <w:rsid w:val="002B0C0B"/>
    <w:rsid w:val="002B1432"/>
    <w:rsid w:val="002B368B"/>
    <w:rsid w:val="002B3E62"/>
    <w:rsid w:val="002B4332"/>
    <w:rsid w:val="002B6F76"/>
    <w:rsid w:val="002B7489"/>
    <w:rsid w:val="002C3180"/>
    <w:rsid w:val="002C473B"/>
    <w:rsid w:val="002C550E"/>
    <w:rsid w:val="002C72E3"/>
    <w:rsid w:val="002D1882"/>
    <w:rsid w:val="002D2DAB"/>
    <w:rsid w:val="002D2F09"/>
    <w:rsid w:val="002D329F"/>
    <w:rsid w:val="002D3465"/>
    <w:rsid w:val="002E067F"/>
    <w:rsid w:val="002E294E"/>
    <w:rsid w:val="002E3E90"/>
    <w:rsid w:val="002E4B90"/>
    <w:rsid w:val="002F0D7D"/>
    <w:rsid w:val="002F0DB1"/>
    <w:rsid w:val="002F1A30"/>
    <w:rsid w:val="002F26FE"/>
    <w:rsid w:val="002F3ACF"/>
    <w:rsid w:val="002F5311"/>
    <w:rsid w:val="002F5C34"/>
    <w:rsid w:val="002F6B87"/>
    <w:rsid w:val="002F6CB9"/>
    <w:rsid w:val="00301F76"/>
    <w:rsid w:val="00302E0F"/>
    <w:rsid w:val="00303DE1"/>
    <w:rsid w:val="003063C3"/>
    <w:rsid w:val="00306954"/>
    <w:rsid w:val="00306A80"/>
    <w:rsid w:val="00307EE0"/>
    <w:rsid w:val="00312765"/>
    <w:rsid w:val="00313CC9"/>
    <w:rsid w:val="00314D2E"/>
    <w:rsid w:val="00315429"/>
    <w:rsid w:val="00315602"/>
    <w:rsid w:val="00316375"/>
    <w:rsid w:val="00320A38"/>
    <w:rsid w:val="003228A1"/>
    <w:rsid w:val="0032362B"/>
    <w:rsid w:val="00330457"/>
    <w:rsid w:val="00330BC6"/>
    <w:rsid w:val="00332E38"/>
    <w:rsid w:val="00333A1F"/>
    <w:rsid w:val="00334261"/>
    <w:rsid w:val="00336B9E"/>
    <w:rsid w:val="003400D2"/>
    <w:rsid w:val="00340FA3"/>
    <w:rsid w:val="00341AFE"/>
    <w:rsid w:val="00341FCF"/>
    <w:rsid w:val="003420A9"/>
    <w:rsid w:val="00342554"/>
    <w:rsid w:val="00343C6A"/>
    <w:rsid w:val="00345250"/>
    <w:rsid w:val="00347B87"/>
    <w:rsid w:val="00347CAD"/>
    <w:rsid w:val="00347E4A"/>
    <w:rsid w:val="00350A8A"/>
    <w:rsid w:val="00354398"/>
    <w:rsid w:val="003615EF"/>
    <w:rsid w:val="00361C28"/>
    <w:rsid w:val="003632F2"/>
    <w:rsid w:val="003643E3"/>
    <w:rsid w:val="0036482A"/>
    <w:rsid w:val="00364FF7"/>
    <w:rsid w:val="0036511E"/>
    <w:rsid w:val="00365315"/>
    <w:rsid w:val="003678CD"/>
    <w:rsid w:val="00371F20"/>
    <w:rsid w:val="00373A47"/>
    <w:rsid w:val="00373F27"/>
    <w:rsid w:val="00374D47"/>
    <w:rsid w:val="00377ABD"/>
    <w:rsid w:val="00377C4F"/>
    <w:rsid w:val="003800D6"/>
    <w:rsid w:val="00380A46"/>
    <w:rsid w:val="003840A5"/>
    <w:rsid w:val="00384C22"/>
    <w:rsid w:val="00385350"/>
    <w:rsid w:val="003864C4"/>
    <w:rsid w:val="00386BFF"/>
    <w:rsid w:val="003877E1"/>
    <w:rsid w:val="003904A6"/>
    <w:rsid w:val="003904D2"/>
    <w:rsid w:val="00393F1F"/>
    <w:rsid w:val="00394607"/>
    <w:rsid w:val="003946BC"/>
    <w:rsid w:val="0039557C"/>
    <w:rsid w:val="00395C52"/>
    <w:rsid w:val="00395DA6"/>
    <w:rsid w:val="003965A8"/>
    <w:rsid w:val="003A05E1"/>
    <w:rsid w:val="003A0D68"/>
    <w:rsid w:val="003A507C"/>
    <w:rsid w:val="003A7B4B"/>
    <w:rsid w:val="003B3940"/>
    <w:rsid w:val="003B648F"/>
    <w:rsid w:val="003B6581"/>
    <w:rsid w:val="003B670A"/>
    <w:rsid w:val="003C0132"/>
    <w:rsid w:val="003C15AB"/>
    <w:rsid w:val="003D149E"/>
    <w:rsid w:val="003D19FA"/>
    <w:rsid w:val="003D272F"/>
    <w:rsid w:val="003D2D51"/>
    <w:rsid w:val="003D402D"/>
    <w:rsid w:val="003D6D15"/>
    <w:rsid w:val="003E01B0"/>
    <w:rsid w:val="003E10CB"/>
    <w:rsid w:val="003E1A5A"/>
    <w:rsid w:val="003E1CA6"/>
    <w:rsid w:val="003E2E0F"/>
    <w:rsid w:val="003E3795"/>
    <w:rsid w:val="003E5603"/>
    <w:rsid w:val="003E5C02"/>
    <w:rsid w:val="003E6678"/>
    <w:rsid w:val="003F2290"/>
    <w:rsid w:val="003F22B5"/>
    <w:rsid w:val="003F6243"/>
    <w:rsid w:val="0040167B"/>
    <w:rsid w:val="004028F4"/>
    <w:rsid w:val="00406240"/>
    <w:rsid w:val="00407F84"/>
    <w:rsid w:val="00410480"/>
    <w:rsid w:val="00410DC7"/>
    <w:rsid w:val="0041102D"/>
    <w:rsid w:val="00411A1A"/>
    <w:rsid w:val="0041286A"/>
    <w:rsid w:val="00413D79"/>
    <w:rsid w:val="00414418"/>
    <w:rsid w:val="00416AC5"/>
    <w:rsid w:val="00420CA1"/>
    <w:rsid w:val="004250FB"/>
    <w:rsid w:val="00425431"/>
    <w:rsid w:val="00425D90"/>
    <w:rsid w:val="004273F1"/>
    <w:rsid w:val="00431F4F"/>
    <w:rsid w:val="004325BF"/>
    <w:rsid w:val="00434300"/>
    <w:rsid w:val="004348D8"/>
    <w:rsid w:val="0043518D"/>
    <w:rsid w:val="0043579E"/>
    <w:rsid w:val="00436642"/>
    <w:rsid w:val="00436ABE"/>
    <w:rsid w:val="00437247"/>
    <w:rsid w:val="00437EB9"/>
    <w:rsid w:val="00440039"/>
    <w:rsid w:val="004420EB"/>
    <w:rsid w:val="004422D4"/>
    <w:rsid w:val="00445624"/>
    <w:rsid w:val="0044640E"/>
    <w:rsid w:val="00451E75"/>
    <w:rsid w:val="00452B9F"/>
    <w:rsid w:val="004548D7"/>
    <w:rsid w:val="00460498"/>
    <w:rsid w:val="00461693"/>
    <w:rsid w:val="004621F1"/>
    <w:rsid w:val="004627BA"/>
    <w:rsid w:val="004627C3"/>
    <w:rsid w:val="00463402"/>
    <w:rsid w:val="004637B2"/>
    <w:rsid w:val="00463A1B"/>
    <w:rsid w:val="00466882"/>
    <w:rsid w:val="00470083"/>
    <w:rsid w:val="004701BE"/>
    <w:rsid w:val="00470706"/>
    <w:rsid w:val="0047110E"/>
    <w:rsid w:val="00471927"/>
    <w:rsid w:val="00473867"/>
    <w:rsid w:val="00473BF9"/>
    <w:rsid w:val="0047521C"/>
    <w:rsid w:val="004766FB"/>
    <w:rsid w:val="004767A9"/>
    <w:rsid w:val="004808C4"/>
    <w:rsid w:val="00482622"/>
    <w:rsid w:val="004841E6"/>
    <w:rsid w:val="00484BED"/>
    <w:rsid w:val="00485879"/>
    <w:rsid w:val="00487370"/>
    <w:rsid w:val="00490971"/>
    <w:rsid w:val="004910B4"/>
    <w:rsid w:val="004946E4"/>
    <w:rsid w:val="004959E1"/>
    <w:rsid w:val="00495C5D"/>
    <w:rsid w:val="004A3145"/>
    <w:rsid w:val="004A35E9"/>
    <w:rsid w:val="004A6609"/>
    <w:rsid w:val="004B12A2"/>
    <w:rsid w:val="004B1AA2"/>
    <w:rsid w:val="004B3D37"/>
    <w:rsid w:val="004B41A2"/>
    <w:rsid w:val="004B427E"/>
    <w:rsid w:val="004B570A"/>
    <w:rsid w:val="004C39CC"/>
    <w:rsid w:val="004C4751"/>
    <w:rsid w:val="004C73B8"/>
    <w:rsid w:val="004D1C30"/>
    <w:rsid w:val="004D4CBA"/>
    <w:rsid w:val="004D593E"/>
    <w:rsid w:val="004D6475"/>
    <w:rsid w:val="004D6E87"/>
    <w:rsid w:val="004E0879"/>
    <w:rsid w:val="004E2EA1"/>
    <w:rsid w:val="004E5E03"/>
    <w:rsid w:val="004E7CA0"/>
    <w:rsid w:val="004F076F"/>
    <w:rsid w:val="004F28F1"/>
    <w:rsid w:val="004F2CCC"/>
    <w:rsid w:val="004F5E20"/>
    <w:rsid w:val="004F7A90"/>
    <w:rsid w:val="00502540"/>
    <w:rsid w:val="00502BD2"/>
    <w:rsid w:val="005042BB"/>
    <w:rsid w:val="005047AC"/>
    <w:rsid w:val="00505712"/>
    <w:rsid w:val="00505B6B"/>
    <w:rsid w:val="0050720C"/>
    <w:rsid w:val="005114B3"/>
    <w:rsid w:val="005134DE"/>
    <w:rsid w:val="005164F2"/>
    <w:rsid w:val="0051667C"/>
    <w:rsid w:val="00516A74"/>
    <w:rsid w:val="00520705"/>
    <w:rsid w:val="00520B34"/>
    <w:rsid w:val="00521DFF"/>
    <w:rsid w:val="005246B5"/>
    <w:rsid w:val="0052545D"/>
    <w:rsid w:val="00525531"/>
    <w:rsid w:val="00525C03"/>
    <w:rsid w:val="005264F7"/>
    <w:rsid w:val="00533AC4"/>
    <w:rsid w:val="00534927"/>
    <w:rsid w:val="00537482"/>
    <w:rsid w:val="005417BC"/>
    <w:rsid w:val="00542646"/>
    <w:rsid w:val="00544007"/>
    <w:rsid w:val="0054606B"/>
    <w:rsid w:val="00546823"/>
    <w:rsid w:val="00546B7F"/>
    <w:rsid w:val="005505F0"/>
    <w:rsid w:val="005517A5"/>
    <w:rsid w:val="00554ABA"/>
    <w:rsid w:val="005550E5"/>
    <w:rsid w:val="005601A1"/>
    <w:rsid w:val="005605B4"/>
    <w:rsid w:val="005632EA"/>
    <w:rsid w:val="00565A3A"/>
    <w:rsid w:val="0057389C"/>
    <w:rsid w:val="00574BC2"/>
    <w:rsid w:val="00574F5F"/>
    <w:rsid w:val="005762EB"/>
    <w:rsid w:val="00581C5C"/>
    <w:rsid w:val="0058223E"/>
    <w:rsid w:val="00586117"/>
    <w:rsid w:val="00592F43"/>
    <w:rsid w:val="00596551"/>
    <w:rsid w:val="005A273A"/>
    <w:rsid w:val="005A3C44"/>
    <w:rsid w:val="005A4341"/>
    <w:rsid w:val="005A4373"/>
    <w:rsid w:val="005A49FB"/>
    <w:rsid w:val="005A5E78"/>
    <w:rsid w:val="005C108C"/>
    <w:rsid w:val="005C211F"/>
    <w:rsid w:val="005C4F10"/>
    <w:rsid w:val="005C610A"/>
    <w:rsid w:val="005C70E2"/>
    <w:rsid w:val="005C7739"/>
    <w:rsid w:val="005D1F8F"/>
    <w:rsid w:val="005D4294"/>
    <w:rsid w:val="005D59FD"/>
    <w:rsid w:val="005D5C56"/>
    <w:rsid w:val="005D5E82"/>
    <w:rsid w:val="005D6E8C"/>
    <w:rsid w:val="005D7BC4"/>
    <w:rsid w:val="005E226F"/>
    <w:rsid w:val="005E4D34"/>
    <w:rsid w:val="005F0B8D"/>
    <w:rsid w:val="005F2B8A"/>
    <w:rsid w:val="005F2B98"/>
    <w:rsid w:val="005F65E0"/>
    <w:rsid w:val="005F699A"/>
    <w:rsid w:val="005F7167"/>
    <w:rsid w:val="0060114C"/>
    <w:rsid w:val="006073ED"/>
    <w:rsid w:val="00613455"/>
    <w:rsid w:val="00616E79"/>
    <w:rsid w:val="00621B7F"/>
    <w:rsid w:val="00622461"/>
    <w:rsid w:val="00622B48"/>
    <w:rsid w:val="00625868"/>
    <w:rsid w:val="00626BDE"/>
    <w:rsid w:val="0062721D"/>
    <w:rsid w:val="00627699"/>
    <w:rsid w:val="00631365"/>
    <w:rsid w:val="00633EEB"/>
    <w:rsid w:val="006369B1"/>
    <w:rsid w:val="00640DEF"/>
    <w:rsid w:val="00642B5C"/>
    <w:rsid w:val="0065339E"/>
    <w:rsid w:val="00656017"/>
    <w:rsid w:val="006568C0"/>
    <w:rsid w:val="0066272D"/>
    <w:rsid w:val="00671A1A"/>
    <w:rsid w:val="00671AA9"/>
    <w:rsid w:val="00673140"/>
    <w:rsid w:val="006740DF"/>
    <w:rsid w:val="00674581"/>
    <w:rsid w:val="0067629B"/>
    <w:rsid w:val="00676CCF"/>
    <w:rsid w:val="00677F6B"/>
    <w:rsid w:val="0068047D"/>
    <w:rsid w:val="006808E9"/>
    <w:rsid w:val="006816D6"/>
    <w:rsid w:val="006834FE"/>
    <w:rsid w:val="00683A5F"/>
    <w:rsid w:val="006846C8"/>
    <w:rsid w:val="006871D0"/>
    <w:rsid w:val="00690158"/>
    <w:rsid w:val="00690D42"/>
    <w:rsid w:val="00691913"/>
    <w:rsid w:val="00691F7E"/>
    <w:rsid w:val="006922DE"/>
    <w:rsid w:val="00693410"/>
    <w:rsid w:val="00694381"/>
    <w:rsid w:val="00694CE0"/>
    <w:rsid w:val="006A0B39"/>
    <w:rsid w:val="006A0FA8"/>
    <w:rsid w:val="006A14BA"/>
    <w:rsid w:val="006A2190"/>
    <w:rsid w:val="006A28ED"/>
    <w:rsid w:val="006A2A71"/>
    <w:rsid w:val="006A3DB2"/>
    <w:rsid w:val="006A6C6C"/>
    <w:rsid w:val="006B38FD"/>
    <w:rsid w:val="006B4BF8"/>
    <w:rsid w:val="006B4E8E"/>
    <w:rsid w:val="006B7C2A"/>
    <w:rsid w:val="006B7F20"/>
    <w:rsid w:val="006C1F19"/>
    <w:rsid w:val="006C36DE"/>
    <w:rsid w:val="006C3940"/>
    <w:rsid w:val="006C4534"/>
    <w:rsid w:val="006C5471"/>
    <w:rsid w:val="006C65F9"/>
    <w:rsid w:val="006C6F03"/>
    <w:rsid w:val="006C6F97"/>
    <w:rsid w:val="006D2BF1"/>
    <w:rsid w:val="006D2DE8"/>
    <w:rsid w:val="006D3295"/>
    <w:rsid w:val="006D6C33"/>
    <w:rsid w:val="006D7343"/>
    <w:rsid w:val="006D7CB3"/>
    <w:rsid w:val="006E051E"/>
    <w:rsid w:val="006E1056"/>
    <w:rsid w:val="006E12EB"/>
    <w:rsid w:val="006E153E"/>
    <w:rsid w:val="006E6359"/>
    <w:rsid w:val="006E70A9"/>
    <w:rsid w:val="006F1CB5"/>
    <w:rsid w:val="006F1DDA"/>
    <w:rsid w:val="006F39A3"/>
    <w:rsid w:val="006F4881"/>
    <w:rsid w:val="006F5EC8"/>
    <w:rsid w:val="006F6452"/>
    <w:rsid w:val="006F78A7"/>
    <w:rsid w:val="00701E79"/>
    <w:rsid w:val="007020BB"/>
    <w:rsid w:val="00702A3E"/>
    <w:rsid w:val="00705508"/>
    <w:rsid w:val="00705EA6"/>
    <w:rsid w:val="00705EB9"/>
    <w:rsid w:val="00706821"/>
    <w:rsid w:val="00710DC5"/>
    <w:rsid w:val="0071152B"/>
    <w:rsid w:val="00711C64"/>
    <w:rsid w:val="00715DD0"/>
    <w:rsid w:val="00715EA7"/>
    <w:rsid w:val="007164C4"/>
    <w:rsid w:val="00721A82"/>
    <w:rsid w:val="00722A1E"/>
    <w:rsid w:val="00722FA2"/>
    <w:rsid w:val="007233BD"/>
    <w:rsid w:val="00723528"/>
    <w:rsid w:val="0072466C"/>
    <w:rsid w:val="00724AA2"/>
    <w:rsid w:val="00724F3D"/>
    <w:rsid w:val="00726206"/>
    <w:rsid w:val="00727E25"/>
    <w:rsid w:val="00731126"/>
    <w:rsid w:val="00731D51"/>
    <w:rsid w:val="00732BF4"/>
    <w:rsid w:val="007341B8"/>
    <w:rsid w:val="00734490"/>
    <w:rsid w:val="00734E31"/>
    <w:rsid w:val="00735B65"/>
    <w:rsid w:val="007362D2"/>
    <w:rsid w:val="00736835"/>
    <w:rsid w:val="00740362"/>
    <w:rsid w:val="00742FC0"/>
    <w:rsid w:val="0074393A"/>
    <w:rsid w:val="00744216"/>
    <w:rsid w:val="007446DC"/>
    <w:rsid w:val="00745383"/>
    <w:rsid w:val="00746280"/>
    <w:rsid w:val="00750070"/>
    <w:rsid w:val="00750C1F"/>
    <w:rsid w:val="007512A8"/>
    <w:rsid w:val="007538F0"/>
    <w:rsid w:val="00754331"/>
    <w:rsid w:val="00756CB2"/>
    <w:rsid w:val="007605BB"/>
    <w:rsid w:val="007608E4"/>
    <w:rsid w:val="007633F2"/>
    <w:rsid w:val="007635DF"/>
    <w:rsid w:val="0076637F"/>
    <w:rsid w:val="00767071"/>
    <w:rsid w:val="00767F2E"/>
    <w:rsid w:val="007700BC"/>
    <w:rsid w:val="00771069"/>
    <w:rsid w:val="00772472"/>
    <w:rsid w:val="00772963"/>
    <w:rsid w:val="00773A59"/>
    <w:rsid w:val="00773DA2"/>
    <w:rsid w:val="00775C58"/>
    <w:rsid w:val="00780462"/>
    <w:rsid w:val="0078096A"/>
    <w:rsid w:val="00784644"/>
    <w:rsid w:val="00785221"/>
    <w:rsid w:val="00786406"/>
    <w:rsid w:val="00791DCE"/>
    <w:rsid w:val="00792A8B"/>
    <w:rsid w:val="00795E36"/>
    <w:rsid w:val="00796BE2"/>
    <w:rsid w:val="00796F21"/>
    <w:rsid w:val="0079779E"/>
    <w:rsid w:val="007A0F08"/>
    <w:rsid w:val="007A3071"/>
    <w:rsid w:val="007A32CD"/>
    <w:rsid w:val="007A59DF"/>
    <w:rsid w:val="007A6302"/>
    <w:rsid w:val="007A6583"/>
    <w:rsid w:val="007A7067"/>
    <w:rsid w:val="007B20D2"/>
    <w:rsid w:val="007B28B9"/>
    <w:rsid w:val="007B496B"/>
    <w:rsid w:val="007B4FC0"/>
    <w:rsid w:val="007B5723"/>
    <w:rsid w:val="007C2421"/>
    <w:rsid w:val="007C24B7"/>
    <w:rsid w:val="007C26B2"/>
    <w:rsid w:val="007C26ED"/>
    <w:rsid w:val="007C4955"/>
    <w:rsid w:val="007C50C1"/>
    <w:rsid w:val="007C5424"/>
    <w:rsid w:val="007C6796"/>
    <w:rsid w:val="007D026E"/>
    <w:rsid w:val="007D24F3"/>
    <w:rsid w:val="007D4A9C"/>
    <w:rsid w:val="007D52BA"/>
    <w:rsid w:val="007D5D1A"/>
    <w:rsid w:val="007D66A7"/>
    <w:rsid w:val="007E100D"/>
    <w:rsid w:val="007E18B0"/>
    <w:rsid w:val="007E2FCA"/>
    <w:rsid w:val="007E3096"/>
    <w:rsid w:val="007E5731"/>
    <w:rsid w:val="007E74DB"/>
    <w:rsid w:val="007E7D69"/>
    <w:rsid w:val="007E7ED7"/>
    <w:rsid w:val="007F16EF"/>
    <w:rsid w:val="007F415D"/>
    <w:rsid w:val="007F70D4"/>
    <w:rsid w:val="00801D61"/>
    <w:rsid w:val="00802656"/>
    <w:rsid w:val="008032FE"/>
    <w:rsid w:val="00804223"/>
    <w:rsid w:val="00805EDC"/>
    <w:rsid w:val="00807083"/>
    <w:rsid w:val="0081083F"/>
    <w:rsid w:val="008110A8"/>
    <w:rsid w:val="00812CA9"/>
    <w:rsid w:val="0082211A"/>
    <w:rsid w:val="00825DAF"/>
    <w:rsid w:val="008260CD"/>
    <w:rsid w:val="00831957"/>
    <w:rsid w:val="00831AB7"/>
    <w:rsid w:val="00832AE7"/>
    <w:rsid w:val="0083493C"/>
    <w:rsid w:val="00835211"/>
    <w:rsid w:val="008355F2"/>
    <w:rsid w:val="00835901"/>
    <w:rsid w:val="0083737B"/>
    <w:rsid w:val="008379B5"/>
    <w:rsid w:val="00840D72"/>
    <w:rsid w:val="0084185D"/>
    <w:rsid w:val="00844431"/>
    <w:rsid w:val="00847013"/>
    <w:rsid w:val="008474E2"/>
    <w:rsid w:val="00850AB8"/>
    <w:rsid w:val="00860FE1"/>
    <w:rsid w:val="0086302B"/>
    <w:rsid w:val="00863F1D"/>
    <w:rsid w:val="008649AC"/>
    <w:rsid w:val="008666F6"/>
    <w:rsid w:val="00870CF2"/>
    <w:rsid w:val="0087466A"/>
    <w:rsid w:val="008760F0"/>
    <w:rsid w:val="008768F2"/>
    <w:rsid w:val="00880675"/>
    <w:rsid w:val="008818F7"/>
    <w:rsid w:val="00881EDB"/>
    <w:rsid w:val="00883672"/>
    <w:rsid w:val="008845F1"/>
    <w:rsid w:val="008849D2"/>
    <w:rsid w:val="00884DF4"/>
    <w:rsid w:val="00884EB4"/>
    <w:rsid w:val="008878BB"/>
    <w:rsid w:val="00890E2F"/>
    <w:rsid w:val="00890E36"/>
    <w:rsid w:val="00891A7E"/>
    <w:rsid w:val="0089237E"/>
    <w:rsid w:val="0089320D"/>
    <w:rsid w:val="00894CCC"/>
    <w:rsid w:val="008A031F"/>
    <w:rsid w:val="008A1951"/>
    <w:rsid w:val="008A2563"/>
    <w:rsid w:val="008B08A9"/>
    <w:rsid w:val="008B2E5B"/>
    <w:rsid w:val="008B5303"/>
    <w:rsid w:val="008B58D7"/>
    <w:rsid w:val="008B5E3E"/>
    <w:rsid w:val="008B6F47"/>
    <w:rsid w:val="008C2D20"/>
    <w:rsid w:val="008C31D6"/>
    <w:rsid w:val="008C32D9"/>
    <w:rsid w:val="008C3A85"/>
    <w:rsid w:val="008C3B19"/>
    <w:rsid w:val="008C64DE"/>
    <w:rsid w:val="008D05D1"/>
    <w:rsid w:val="008D1EBE"/>
    <w:rsid w:val="008D303F"/>
    <w:rsid w:val="008D4DEE"/>
    <w:rsid w:val="008D4E25"/>
    <w:rsid w:val="008D6179"/>
    <w:rsid w:val="008D6EBC"/>
    <w:rsid w:val="008D7AB0"/>
    <w:rsid w:val="008E2DC0"/>
    <w:rsid w:val="008E37DC"/>
    <w:rsid w:val="008E395A"/>
    <w:rsid w:val="008E46FB"/>
    <w:rsid w:val="008E54B1"/>
    <w:rsid w:val="008F5ABF"/>
    <w:rsid w:val="008F5DDC"/>
    <w:rsid w:val="008F7D90"/>
    <w:rsid w:val="009010F6"/>
    <w:rsid w:val="00902122"/>
    <w:rsid w:val="00902450"/>
    <w:rsid w:val="009044E1"/>
    <w:rsid w:val="00906ACB"/>
    <w:rsid w:val="00907190"/>
    <w:rsid w:val="009078E3"/>
    <w:rsid w:val="0091015F"/>
    <w:rsid w:val="0091267D"/>
    <w:rsid w:val="00913D0C"/>
    <w:rsid w:val="00920E46"/>
    <w:rsid w:val="00921539"/>
    <w:rsid w:val="009238CA"/>
    <w:rsid w:val="00925728"/>
    <w:rsid w:val="009265CD"/>
    <w:rsid w:val="00930D00"/>
    <w:rsid w:val="00933F46"/>
    <w:rsid w:val="00934B50"/>
    <w:rsid w:val="0093558C"/>
    <w:rsid w:val="00935905"/>
    <w:rsid w:val="00935C33"/>
    <w:rsid w:val="00935ED0"/>
    <w:rsid w:val="00940F9C"/>
    <w:rsid w:val="0095292D"/>
    <w:rsid w:val="00952AC0"/>
    <w:rsid w:val="00954BDA"/>
    <w:rsid w:val="009579E5"/>
    <w:rsid w:val="00957E5E"/>
    <w:rsid w:val="00963B15"/>
    <w:rsid w:val="00964388"/>
    <w:rsid w:val="00964D5A"/>
    <w:rsid w:val="009666B6"/>
    <w:rsid w:val="00966824"/>
    <w:rsid w:val="00967AF2"/>
    <w:rsid w:val="00970581"/>
    <w:rsid w:val="00972C98"/>
    <w:rsid w:val="009730B8"/>
    <w:rsid w:val="009739C1"/>
    <w:rsid w:val="009748C7"/>
    <w:rsid w:val="00976710"/>
    <w:rsid w:val="00976AB5"/>
    <w:rsid w:val="00980ACD"/>
    <w:rsid w:val="009811CD"/>
    <w:rsid w:val="00981B28"/>
    <w:rsid w:val="00982D48"/>
    <w:rsid w:val="00985C19"/>
    <w:rsid w:val="009874A8"/>
    <w:rsid w:val="00991A49"/>
    <w:rsid w:val="00992D2F"/>
    <w:rsid w:val="00993150"/>
    <w:rsid w:val="00993B58"/>
    <w:rsid w:val="00993B7A"/>
    <w:rsid w:val="00994125"/>
    <w:rsid w:val="009953F0"/>
    <w:rsid w:val="0099644E"/>
    <w:rsid w:val="009A191A"/>
    <w:rsid w:val="009A2181"/>
    <w:rsid w:val="009A438C"/>
    <w:rsid w:val="009A4A93"/>
    <w:rsid w:val="009A6217"/>
    <w:rsid w:val="009A6FE9"/>
    <w:rsid w:val="009A708F"/>
    <w:rsid w:val="009B2D92"/>
    <w:rsid w:val="009B40FB"/>
    <w:rsid w:val="009B4D60"/>
    <w:rsid w:val="009B51AA"/>
    <w:rsid w:val="009B5770"/>
    <w:rsid w:val="009C007B"/>
    <w:rsid w:val="009C2185"/>
    <w:rsid w:val="009C28BF"/>
    <w:rsid w:val="009C315B"/>
    <w:rsid w:val="009C3E64"/>
    <w:rsid w:val="009C5388"/>
    <w:rsid w:val="009C55DA"/>
    <w:rsid w:val="009C57A1"/>
    <w:rsid w:val="009D08CC"/>
    <w:rsid w:val="009D3F87"/>
    <w:rsid w:val="009D4E41"/>
    <w:rsid w:val="009D50D8"/>
    <w:rsid w:val="009D524E"/>
    <w:rsid w:val="009D6CF2"/>
    <w:rsid w:val="009D70C2"/>
    <w:rsid w:val="009D7146"/>
    <w:rsid w:val="009E4044"/>
    <w:rsid w:val="009E57D5"/>
    <w:rsid w:val="009E631F"/>
    <w:rsid w:val="009F0654"/>
    <w:rsid w:val="009F09BE"/>
    <w:rsid w:val="009F20CC"/>
    <w:rsid w:val="009F445C"/>
    <w:rsid w:val="009F5EEE"/>
    <w:rsid w:val="009F76E0"/>
    <w:rsid w:val="00A040E3"/>
    <w:rsid w:val="00A04F39"/>
    <w:rsid w:val="00A053BC"/>
    <w:rsid w:val="00A05BAD"/>
    <w:rsid w:val="00A06278"/>
    <w:rsid w:val="00A07F66"/>
    <w:rsid w:val="00A11316"/>
    <w:rsid w:val="00A11FEB"/>
    <w:rsid w:val="00A141B8"/>
    <w:rsid w:val="00A14E6F"/>
    <w:rsid w:val="00A15207"/>
    <w:rsid w:val="00A160EF"/>
    <w:rsid w:val="00A166B7"/>
    <w:rsid w:val="00A16A46"/>
    <w:rsid w:val="00A20A06"/>
    <w:rsid w:val="00A20B2E"/>
    <w:rsid w:val="00A21A96"/>
    <w:rsid w:val="00A23B40"/>
    <w:rsid w:val="00A253EA"/>
    <w:rsid w:val="00A2611D"/>
    <w:rsid w:val="00A26FD4"/>
    <w:rsid w:val="00A27825"/>
    <w:rsid w:val="00A27C53"/>
    <w:rsid w:val="00A366F5"/>
    <w:rsid w:val="00A36ECD"/>
    <w:rsid w:val="00A37B31"/>
    <w:rsid w:val="00A401C2"/>
    <w:rsid w:val="00A40BB8"/>
    <w:rsid w:val="00A4130F"/>
    <w:rsid w:val="00A42BC0"/>
    <w:rsid w:val="00A47FCD"/>
    <w:rsid w:val="00A52CD1"/>
    <w:rsid w:val="00A53F95"/>
    <w:rsid w:val="00A54D15"/>
    <w:rsid w:val="00A561C0"/>
    <w:rsid w:val="00A57267"/>
    <w:rsid w:val="00A61941"/>
    <w:rsid w:val="00A620DD"/>
    <w:rsid w:val="00A6408B"/>
    <w:rsid w:val="00A657A7"/>
    <w:rsid w:val="00A657BE"/>
    <w:rsid w:val="00A66F34"/>
    <w:rsid w:val="00A70124"/>
    <w:rsid w:val="00A71735"/>
    <w:rsid w:val="00A71E14"/>
    <w:rsid w:val="00A72107"/>
    <w:rsid w:val="00A72C57"/>
    <w:rsid w:val="00A76C0A"/>
    <w:rsid w:val="00A77B6D"/>
    <w:rsid w:val="00A77C1E"/>
    <w:rsid w:val="00A80DA5"/>
    <w:rsid w:val="00A81CCE"/>
    <w:rsid w:val="00A81DB4"/>
    <w:rsid w:val="00A828AE"/>
    <w:rsid w:val="00A831E5"/>
    <w:rsid w:val="00A84F5D"/>
    <w:rsid w:val="00A84FB5"/>
    <w:rsid w:val="00A85ECB"/>
    <w:rsid w:val="00A87047"/>
    <w:rsid w:val="00A8760B"/>
    <w:rsid w:val="00A931C9"/>
    <w:rsid w:val="00A94E22"/>
    <w:rsid w:val="00AA0EA6"/>
    <w:rsid w:val="00AA1055"/>
    <w:rsid w:val="00AA247E"/>
    <w:rsid w:val="00AA4ECE"/>
    <w:rsid w:val="00AA560D"/>
    <w:rsid w:val="00AB2721"/>
    <w:rsid w:val="00AB3A41"/>
    <w:rsid w:val="00AB5EC4"/>
    <w:rsid w:val="00AB6DE6"/>
    <w:rsid w:val="00AC147A"/>
    <w:rsid w:val="00AC301E"/>
    <w:rsid w:val="00AC54D7"/>
    <w:rsid w:val="00AD2A87"/>
    <w:rsid w:val="00AD3431"/>
    <w:rsid w:val="00AD388E"/>
    <w:rsid w:val="00AD69F3"/>
    <w:rsid w:val="00AE04BF"/>
    <w:rsid w:val="00AE226D"/>
    <w:rsid w:val="00AE293F"/>
    <w:rsid w:val="00AE4A80"/>
    <w:rsid w:val="00AE50E0"/>
    <w:rsid w:val="00AE76FD"/>
    <w:rsid w:val="00AF0587"/>
    <w:rsid w:val="00AF11AA"/>
    <w:rsid w:val="00AF21E7"/>
    <w:rsid w:val="00AF30C4"/>
    <w:rsid w:val="00AF45D5"/>
    <w:rsid w:val="00AF5595"/>
    <w:rsid w:val="00AF5BDF"/>
    <w:rsid w:val="00AF7661"/>
    <w:rsid w:val="00B02854"/>
    <w:rsid w:val="00B0660A"/>
    <w:rsid w:val="00B06FE2"/>
    <w:rsid w:val="00B10F3A"/>
    <w:rsid w:val="00B1388F"/>
    <w:rsid w:val="00B13C17"/>
    <w:rsid w:val="00B13C74"/>
    <w:rsid w:val="00B15777"/>
    <w:rsid w:val="00B160EE"/>
    <w:rsid w:val="00B17389"/>
    <w:rsid w:val="00B17650"/>
    <w:rsid w:val="00B21427"/>
    <w:rsid w:val="00B243BC"/>
    <w:rsid w:val="00B251CE"/>
    <w:rsid w:val="00B25584"/>
    <w:rsid w:val="00B26CA6"/>
    <w:rsid w:val="00B274C1"/>
    <w:rsid w:val="00B308E3"/>
    <w:rsid w:val="00B30906"/>
    <w:rsid w:val="00B31764"/>
    <w:rsid w:val="00B32524"/>
    <w:rsid w:val="00B32BC7"/>
    <w:rsid w:val="00B33DAC"/>
    <w:rsid w:val="00B43B01"/>
    <w:rsid w:val="00B451FE"/>
    <w:rsid w:val="00B45D48"/>
    <w:rsid w:val="00B476FC"/>
    <w:rsid w:val="00B50C0F"/>
    <w:rsid w:val="00B528F4"/>
    <w:rsid w:val="00B52BF5"/>
    <w:rsid w:val="00B54579"/>
    <w:rsid w:val="00B550F9"/>
    <w:rsid w:val="00B5522F"/>
    <w:rsid w:val="00B578CB"/>
    <w:rsid w:val="00B61AB3"/>
    <w:rsid w:val="00B63957"/>
    <w:rsid w:val="00B648DF"/>
    <w:rsid w:val="00B67EF4"/>
    <w:rsid w:val="00B705E8"/>
    <w:rsid w:val="00B72163"/>
    <w:rsid w:val="00B74458"/>
    <w:rsid w:val="00B81FE7"/>
    <w:rsid w:val="00B8430E"/>
    <w:rsid w:val="00B84973"/>
    <w:rsid w:val="00B8511D"/>
    <w:rsid w:val="00B90ADB"/>
    <w:rsid w:val="00B925E9"/>
    <w:rsid w:val="00B94CF0"/>
    <w:rsid w:val="00B95B04"/>
    <w:rsid w:val="00BA08E1"/>
    <w:rsid w:val="00BA0CB1"/>
    <w:rsid w:val="00BA161D"/>
    <w:rsid w:val="00BA4768"/>
    <w:rsid w:val="00BA6E14"/>
    <w:rsid w:val="00BB0DB4"/>
    <w:rsid w:val="00BB27F7"/>
    <w:rsid w:val="00BB3C56"/>
    <w:rsid w:val="00BC168D"/>
    <w:rsid w:val="00BC244A"/>
    <w:rsid w:val="00BC2A5C"/>
    <w:rsid w:val="00BC2AF8"/>
    <w:rsid w:val="00BC649F"/>
    <w:rsid w:val="00BC65CB"/>
    <w:rsid w:val="00BC735B"/>
    <w:rsid w:val="00BC76E8"/>
    <w:rsid w:val="00BD2FD5"/>
    <w:rsid w:val="00BD3885"/>
    <w:rsid w:val="00BD5185"/>
    <w:rsid w:val="00BD5273"/>
    <w:rsid w:val="00BD64B7"/>
    <w:rsid w:val="00BD73C8"/>
    <w:rsid w:val="00BE0B19"/>
    <w:rsid w:val="00BE1850"/>
    <w:rsid w:val="00BE294E"/>
    <w:rsid w:val="00BE2DDC"/>
    <w:rsid w:val="00BE64F7"/>
    <w:rsid w:val="00BF279F"/>
    <w:rsid w:val="00BF451F"/>
    <w:rsid w:val="00BF4C7D"/>
    <w:rsid w:val="00BF5946"/>
    <w:rsid w:val="00BF60EF"/>
    <w:rsid w:val="00C0099C"/>
    <w:rsid w:val="00C05A25"/>
    <w:rsid w:val="00C06EC2"/>
    <w:rsid w:val="00C0774A"/>
    <w:rsid w:val="00C128F3"/>
    <w:rsid w:val="00C15E1D"/>
    <w:rsid w:val="00C15F90"/>
    <w:rsid w:val="00C2091A"/>
    <w:rsid w:val="00C24AA2"/>
    <w:rsid w:val="00C2555C"/>
    <w:rsid w:val="00C26A2D"/>
    <w:rsid w:val="00C3185E"/>
    <w:rsid w:val="00C31CCA"/>
    <w:rsid w:val="00C32746"/>
    <w:rsid w:val="00C36380"/>
    <w:rsid w:val="00C36E2F"/>
    <w:rsid w:val="00C37A85"/>
    <w:rsid w:val="00C42699"/>
    <w:rsid w:val="00C42CE4"/>
    <w:rsid w:val="00C434F0"/>
    <w:rsid w:val="00C4381E"/>
    <w:rsid w:val="00C44043"/>
    <w:rsid w:val="00C51FBE"/>
    <w:rsid w:val="00C54F38"/>
    <w:rsid w:val="00C556A2"/>
    <w:rsid w:val="00C62D30"/>
    <w:rsid w:val="00C62DB8"/>
    <w:rsid w:val="00C632EA"/>
    <w:rsid w:val="00C67639"/>
    <w:rsid w:val="00C70C5F"/>
    <w:rsid w:val="00C7192B"/>
    <w:rsid w:val="00C7375E"/>
    <w:rsid w:val="00C74CF6"/>
    <w:rsid w:val="00C75082"/>
    <w:rsid w:val="00C75278"/>
    <w:rsid w:val="00C7768C"/>
    <w:rsid w:val="00C8276B"/>
    <w:rsid w:val="00C82B2E"/>
    <w:rsid w:val="00C836A1"/>
    <w:rsid w:val="00C844E3"/>
    <w:rsid w:val="00C8608E"/>
    <w:rsid w:val="00C866A8"/>
    <w:rsid w:val="00C918E7"/>
    <w:rsid w:val="00C9264D"/>
    <w:rsid w:val="00C93032"/>
    <w:rsid w:val="00C93D48"/>
    <w:rsid w:val="00CA0A1B"/>
    <w:rsid w:val="00CA19D3"/>
    <w:rsid w:val="00CA3CBD"/>
    <w:rsid w:val="00CA3F60"/>
    <w:rsid w:val="00CB02AA"/>
    <w:rsid w:val="00CB1190"/>
    <w:rsid w:val="00CB3250"/>
    <w:rsid w:val="00CB4A88"/>
    <w:rsid w:val="00CB5F7D"/>
    <w:rsid w:val="00CB6373"/>
    <w:rsid w:val="00CC03B1"/>
    <w:rsid w:val="00CC135D"/>
    <w:rsid w:val="00CC3CD8"/>
    <w:rsid w:val="00CC465F"/>
    <w:rsid w:val="00CC4FBC"/>
    <w:rsid w:val="00CC53DD"/>
    <w:rsid w:val="00CD08DE"/>
    <w:rsid w:val="00CD7A35"/>
    <w:rsid w:val="00CD7B40"/>
    <w:rsid w:val="00CE2AA5"/>
    <w:rsid w:val="00CE4CE9"/>
    <w:rsid w:val="00CE532F"/>
    <w:rsid w:val="00CE579B"/>
    <w:rsid w:val="00CE58B8"/>
    <w:rsid w:val="00CE5EA5"/>
    <w:rsid w:val="00CE63E3"/>
    <w:rsid w:val="00CF0031"/>
    <w:rsid w:val="00CF23D7"/>
    <w:rsid w:val="00CF4ADB"/>
    <w:rsid w:val="00CF5774"/>
    <w:rsid w:val="00D000F2"/>
    <w:rsid w:val="00D024D2"/>
    <w:rsid w:val="00D05603"/>
    <w:rsid w:val="00D05CAE"/>
    <w:rsid w:val="00D07209"/>
    <w:rsid w:val="00D108C8"/>
    <w:rsid w:val="00D10971"/>
    <w:rsid w:val="00D1102F"/>
    <w:rsid w:val="00D11F2E"/>
    <w:rsid w:val="00D13512"/>
    <w:rsid w:val="00D138D1"/>
    <w:rsid w:val="00D13AC2"/>
    <w:rsid w:val="00D15783"/>
    <w:rsid w:val="00D16BF6"/>
    <w:rsid w:val="00D16E6C"/>
    <w:rsid w:val="00D17E6A"/>
    <w:rsid w:val="00D23141"/>
    <w:rsid w:val="00D26E78"/>
    <w:rsid w:val="00D304B2"/>
    <w:rsid w:val="00D3054B"/>
    <w:rsid w:val="00D35C76"/>
    <w:rsid w:val="00D3760B"/>
    <w:rsid w:val="00D43889"/>
    <w:rsid w:val="00D454D6"/>
    <w:rsid w:val="00D46EB7"/>
    <w:rsid w:val="00D53061"/>
    <w:rsid w:val="00D53C0F"/>
    <w:rsid w:val="00D54303"/>
    <w:rsid w:val="00D54C13"/>
    <w:rsid w:val="00D55886"/>
    <w:rsid w:val="00D55BE6"/>
    <w:rsid w:val="00D63AA0"/>
    <w:rsid w:val="00D64FF5"/>
    <w:rsid w:val="00D653F8"/>
    <w:rsid w:val="00D655F8"/>
    <w:rsid w:val="00D66896"/>
    <w:rsid w:val="00D71A04"/>
    <w:rsid w:val="00D733F4"/>
    <w:rsid w:val="00D73F50"/>
    <w:rsid w:val="00D81600"/>
    <w:rsid w:val="00D83052"/>
    <w:rsid w:val="00D861DD"/>
    <w:rsid w:val="00D865B6"/>
    <w:rsid w:val="00D878A9"/>
    <w:rsid w:val="00D8794A"/>
    <w:rsid w:val="00D90279"/>
    <w:rsid w:val="00D90D79"/>
    <w:rsid w:val="00D91648"/>
    <w:rsid w:val="00D92219"/>
    <w:rsid w:val="00D961BC"/>
    <w:rsid w:val="00DA3753"/>
    <w:rsid w:val="00DA7BC4"/>
    <w:rsid w:val="00DB02EE"/>
    <w:rsid w:val="00DB179B"/>
    <w:rsid w:val="00DB4665"/>
    <w:rsid w:val="00DB5EA5"/>
    <w:rsid w:val="00DB65FD"/>
    <w:rsid w:val="00DB6A0B"/>
    <w:rsid w:val="00DB7D3F"/>
    <w:rsid w:val="00DC04E6"/>
    <w:rsid w:val="00DC0CE7"/>
    <w:rsid w:val="00DC42C4"/>
    <w:rsid w:val="00DD0086"/>
    <w:rsid w:val="00DD010D"/>
    <w:rsid w:val="00DD0762"/>
    <w:rsid w:val="00DD2111"/>
    <w:rsid w:val="00DD3FD5"/>
    <w:rsid w:val="00DD48FD"/>
    <w:rsid w:val="00DE2D0E"/>
    <w:rsid w:val="00DE4C19"/>
    <w:rsid w:val="00DE549B"/>
    <w:rsid w:val="00DE54C6"/>
    <w:rsid w:val="00DE6144"/>
    <w:rsid w:val="00DF0454"/>
    <w:rsid w:val="00DF246F"/>
    <w:rsid w:val="00DF266D"/>
    <w:rsid w:val="00DF2D58"/>
    <w:rsid w:val="00DF5045"/>
    <w:rsid w:val="00DF5DC5"/>
    <w:rsid w:val="00DF7529"/>
    <w:rsid w:val="00DF7936"/>
    <w:rsid w:val="00DF7EAB"/>
    <w:rsid w:val="00E0361C"/>
    <w:rsid w:val="00E059D1"/>
    <w:rsid w:val="00E12755"/>
    <w:rsid w:val="00E1280E"/>
    <w:rsid w:val="00E15598"/>
    <w:rsid w:val="00E2065F"/>
    <w:rsid w:val="00E20A75"/>
    <w:rsid w:val="00E224A3"/>
    <w:rsid w:val="00E22F76"/>
    <w:rsid w:val="00E23055"/>
    <w:rsid w:val="00E236BA"/>
    <w:rsid w:val="00E253FB"/>
    <w:rsid w:val="00E31201"/>
    <w:rsid w:val="00E31A2B"/>
    <w:rsid w:val="00E33AC6"/>
    <w:rsid w:val="00E33E22"/>
    <w:rsid w:val="00E346F8"/>
    <w:rsid w:val="00E34B20"/>
    <w:rsid w:val="00E35B62"/>
    <w:rsid w:val="00E35D84"/>
    <w:rsid w:val="00E36E92"/>
    <w:rsid w:val="00E371C5"/>
    <w:rsid w:val="00E40CA9"/>
    <w:rsid w:val="00E4548F"/>
    <w:rsid w:val="00E512D1"/>
    <w:rsid w:val="00E524D6"/>
    <w:rsid w:val="00E55254"/>
    <w:rsid w:val="00E57B2B"/>
    <w:rsid w:val="00E600FF"/>
    <w:rsid w:val="00E60D05"/>
    <w:rsid w:val="00E63E69"/>
    <w:rsid w:val="00E65ED4"/>
    <w:rsid w:val="00E679F4"/>
    <w:rsid w:val="00E74BD5"/>
    <w:rsid w:val="00E75C99"/>
    <w:rsid w:val="00E75F57"/>
    <w:rsid w:val="00E803F2"/>
    <w:rsid w:val="00E80B47"/>
    <w:rsid w:val="00E8179D"/>
    <w:rsid w:val="00E82B86"/>
    <w:rsid w:val="00E83DBC"/>
    <w:rsid w:val="00E907EC"/>
    <w:rsid w:val="00E90E6E"/>
    <w:rsid w:val="00E91809"/>
    <w:rsid w:val="00E91863"/>
    <w:rsid w:val="00E92B5A"/>
    <w:rsid w:val="00E94CAB"/>
    <w:rsid w:val="00EA25CD"/>
    <w:rsid w:val="00EA3B7A"/>
    <w:rsid w:val="00EA40E2"/>
    <w:rsid w:val="00EA45CD"/>
    <w:rsid w:val="00EA68B4"/>
    <w:rsid w:val="00EB0BA5"/>
    <w:rsid w:val="00EB11EB"/>
    <w:rsid w:val="00EB5AF2"/>
    <w:rsid w:val="00EC01B8"/>
    <w:rsid w:val="00EC2F56"/>
    <w:rsid w:val="00EC6334"/>
    <w:rsid w:val="00EC71E5"/>
    <w:rsid w:val="00ED035F"/>
    <w:rsid w:val="00ED0D2E"/>
    <w:rsid w:val="00ED1A18"/>
    <w:rsid w:val="00ED3AC1"/>
    <w:rsid w:val="00ED72F5"/>
    <w:rsid w:val="00EE02A7"/>
    <w:rsid w:val="00EE3B60"/>
    <w:rsid w:val="00EE4CD4"/>
    <w:rsid w:val="00EE5E84"/>
    <w:rsid w:val="00EE681F"/>
    <w:rsid w:val="00EF1E08"/>
    <w:rsid w:val="00EF4A0F"/>
    <w:rsid w:val="00EF6A70"/>
    <w:rsid w:val="00EF775F"/>
    <w:rsid w:val="00F0072D"/>
    <w:rsid w:val="00F030EB"/>
    <w:rsid w:val="00F05743"/>
    <w:rsid w:val="00F06503"/>
    <w:rsid w:val="00F06D7A"/>
    <w:rsid w:val="00F1362F"/>
    <w:rsid w:val="00F14E59"/>
    <w:rsid w:val="00F159E9"/>
    <w:rsid w:val="00F2036D"/>
    <w:rsid w:val="00F231DD"/>
    <w:rsid w:val="00F23210"/>
    <w:rsid w:val="00F24B3C"/>
    <w:rsid w:val="00F2627F"/>
    <w:rsid w:val="00F27325"/>
    <w:rsid w:val="00F31840"/>
    <w:rsid w:val="00F31BDE"/>
    <w:rsid w:val="00F320E0"/>
    <w:rsid w:val="00F334A5"/>
    <w:rsid w:val="00F337E7"/>
    <w:rsid w:val="00F33E5F"/>
    <w:rsid w:val="00F372BA"/>
    <w:rsid w:val="00F3783D"/>
    <w:rsid w:val="00F42FE3"/>
    <w:rsid w:val="00F43C73"/>
    <w:rsid w:val="00F44293"/>
    <w:rsid w:val="00F45197"/>
    <w:rsid w:val="00F504E7"/>
    <w:rsid w:val="00F54EBB"/>
    <w:rsid w:val="00F664F7"/>
    <w:rsid w:val="00F67041"/>
    <w:rsid w:val="00F70C6F"/>
    <w:rsid w:val="00F72E8C"/>
    <w:rsid w:val="00F74C78"/>
    <w:rsid w:val="00F75341"/>
    <w:rsid w:val="00F7585B"/>
    <w:rsid w:val="00F75A2B"/>
    <w:rsid w:val="00F75B47"/>
    <w:rsid w:val="00F86F56"/>
    <w:rsid w:val="00F9150B"/>
    <w:rsid w:val="00F918ED"/>
    <w:rsid w:val="00F91C64"/>
    <w:rsid w:val="00F91ED7"/>
    <w:rsid w:val="00F92660"/>
    <w:rsid w:val="00F9305D"/>
    <w:rsid w:val="00FA1B58"/>
    <w:rsid w:val="00FA2C9A"/>
    <w:rsid w:val="00FA4CBB"/>
    <w:rsid w:val="00FA7931"/>
    <w:rsid w:val="00FB079B"/>
    <w:rsid w:val="00FB1284"/>
    <w:rsid w:val="00FB2B69"/>
    <w:rsid w:val="00FB2FCD"/>
    <w:rsid w:val="00FB3DA4"/>
    <w:rsid w:val="00FB5F52"/>
    <w:rsid w:val="00FB617A"/>
    <w:rsid w:val="00FB7DE1"/>
    <w:rsid w:val="00FC0D31"/>
    <w:rsid w:val="00FC121B"/>
    <w:rsid w:val="00FC1EB9"/>
    <w:rsid w:val="00FC333E"/>
    <w:rsid w:val="00FC3661"/>
    <w:rsid w:val="00FC3F87"/>
    <w:rsid w:val="00FC6DA3"/>
    <w:rsid w:val="00FD0451"/>
    <w:rsid w:val="00FD110B"/>
    <w:rsid w:val="00FD7E1E"/>
    <w:rsid w:val="00FE0F4B"/>
    <w:rsid w:val="00FE1250"/>
    <w:rsid w:val="00FE308A"/>
    <w:rsid w:val="00FE508A"/>
    <w:rsid w:val="00FE51BB"/>
    <w:rsid w:val="00FE7C46"/>
    <w:rsid w:val="00FF0064"/>
    <w:rsid w:val="00FF0ACA"/>
    <w:rsid w:val="00FF32EC"/>
    <w:rsid w:val="00FF4016"/>
    <w:rsid w:val="00FF4E29"/>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5D5478"/>
  <w15:docId w15:val="{CF8BD88D-35BF-4BB8-8BA8-2A9DC034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6E9"/>
  </w:style>
  <w:style w:type="paragraph" w:styleId="Heading1">
    <w:name w:val="heading 1"/>
    <w:basedOn w:val="Normal"/>
    <w:next w:val="Normal"/>
    <w:link w:val="Heading1Char"/>
    <w:uiPriority w:val="9"/>
    <w:qFormat/>
    <w:rsid w:val="002456E9"/>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2456E9"/>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2456E9"/>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2456E9"/>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456E9"/>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456E9"/>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456E9"/>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456E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456E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E4A"/>
    <w:pPr>
      <w:ind w:left="720"/>
      <w:contextualSpacing/>
    </w:pPr>
  </w:style>
  <w:style w:type="paragraph" w:styleId="Header">
    <w:name w:val="header"/>
    <w:basedOn w:val="Normal"/>
    <w:link w:val="HeaderChar"/>
    <w:uiPriority w:val="99"/>
    <w:unhideWhenUsed/>
    <w:rsid w:val="009A4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8C"/>
  </w:style>
  <w:style w:type="paragraph" w:styleId="Footer">
    <w:name w:val="footer"/>
    <w:basedOn w:val="Normal"/>
    <w:link w:val="FooterChar"/>
    <w:uiPriority w:val="99"/>
    <w:unhideWhenUsed/>
    <w:rsid w:val="009A4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8C"/>
  </w:style>
  <w:style w:type="character" w:styleId="Hyperlink">
    <w:name w:val="Hyperlink"/>
    <w:uiPriority w:val="99"/>
    <w:unhideWhenUsed/>
    <w:rsid w:val="009A438C"/>
    <w:rPr>
      <w:color w:val="0000FF"/>
      <w:u w:val="single"/>
    </w:rPr>
  </w:style>
  <w:style w:type="paragraph" w:customStyle="1" w:styleId="ColorfulList-Accent11">
    <w:name w:val="Colorful List - Accent 11"/>
    <w:basedOn w:val="Normal"/>
    <w:uiPriority w:val="34"/>
    <w:rsid w:val="009A438C"/>
    <w:pPr>
      <w:spacing w:before="120" w:after="200" w:line="240" w:lineRule="auto"/>
      <w:ind w:left="720" w:hanging="360"/>
      <w:contextualSpacing/>
    </w:pPr>
    <w:rPr>
      <w:rFonts w:ascii="Calibri" w:eastAsia="Calibri" w:hAnsi="Calibri" w:cs="Times New Roman"/>
    </w:rPr>
  </w:style>
  <w:style w:type="paragraph" w:styleId="Caption">
    <w:name w:val="caption"/>
    <w:basedOn w:val="Normal"/>
    <w:next w:val="Normal"/>
    <w:uiPriority w:val="35"/>
    <w:unhideWhenUsed/>
    <w:qFormat/>
    <w:rsid w:val="002456E9"/>
    <w:pPr>
      <w:spacing w:after="200" w:line="240" w:lineRule="auto"/>
    </w:pPr>
    <w:rPr>
      <w:i/>
      <w:iCs/>
      <w:color w:val="44546A" w:themeColor="text2"/>
      <w:sz w:val="18"/>
      <w:szCs w:val="18"/>
    </w:rPr>
  </w:style>
  <w:style w:type="paragraph" w:styleId="FootnoteText">
    <w:name w:val="footnote text"/>
    <w:basedOn w:val="Normal"/>
    <w:link w:val="FootnoteTextChar"/>
    <w:unhideWhenUsed/>
    <w:rsid w:val="008110A8"/>
    <w:pPr>
      <w:spacing w:after="0" w:line="240" w:lineRule="auto"/>
    </w:pPr>
  </w:style>
  <w:style w:type="character" w:customStyle="1" w:styleId="FootnoteTextChar">
    <w:name w:val="Footnote Text Char"/>
    <w:basedOn w:val="DefaultParagraphFont"/>
    <w:link w:val="FootnoteText"/>
    <w:rsid w:val="008110A8"/>
    <w:rPr>
      <w:sz w:val="20"/>
      <w:szCs w:val="20"/>
    </w:rPr>
  </w:style>
  <w:style w:type="character" w:styleId="FootnoteReference">
    <w:name w:val="footnote reference"/>
    <w:basedOn w:val="DefaultParagraphFont"/>
    <w:semiHidden/>
    <w:unhideWhenUsed/>
    <w:rsid w:val="008110A8"/>
    <w:rPr>
      <w:vertAlign w:val="superscript"/>
    </w:rPr>
  </w:style>
  <w:style w:type="paragraph" w:styleId="NormalWeb">
    <w:name w:val="Normal (Web)"/>
    <w:basedOn w:val="Normal"/>
    <w:unhideWhenUsed/>
    <w:rsid w:val="004E7CA0"/>
    <w:pPr>
      <w:spacing w:before="100" w:beforeAutospacing="1" w:after="100" w:afterAutospacing="1" w:line="240" w:lineRule="auto"/>
    </w:pPr>
    <w:rPr>
      <w:rFonts w:ascii="Arial Unicode MS" w:eastAsia="Arial Unicode MS" w:hAnsi="Arial Unicode MS" w:cs="Arial Unicode MS"/>
      <w:sz w:val="24"/>
      <w:szCs w:val="24"/>
    </w:rPr>
  </w:style>
  <w:style w:type="table" w:styleId="TableGrid">
    <w:name w:val="Table Grid"/>
    <w:basedOn w:val="TableNormal"/>
    <w:uiPriority w:val="39"/>
    <w:rsid w:val="00DF2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456E9"/>
    <w:rPr>
      <w:i/>
      <w:iCs/>
      <w:color w:val="auto"/>
    </w:rPr>
  </w:style>
  <w:style w:type="character" w:customStyle="1" w:styleId="st">
    <w:name w:val="st"/>
    <w:basedOn w:val="DefaultParagraphFont"/>
    <w:rsid w:val="00CD7B40"/>
  </w:style>
  <w:style w:type="paragraph" w:styleId="BalloonText">
    <w:name w:val="Balloon Text"/>
    <w:basedOn w:val="Normal"/>
    <w:link w:val="BalloonTextChar"/>
    <w:uiPriority w:val="99"/>
    <w:semiHidden/>
    <w:unhideWhenUsed/>
    <w:rsid w:val="00380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A46"/>
    <w:rPr>
      <w:rFonts w:ascii="Tahoma" w:hAnsi="Tahoma" w:cs="Tahoma"/>
      <w:sz w:val="16"/>
      <w:szCs w:val="16"/>
    </w:rPr>
  </w:style>
  <w:style w:type="character" w:styleId="CommentReference">
    <w:name w:val="annotation reference"/>
    <w:basedOn w:val="DefaultParagraphFont"/>
    <w:uiPriority w:val="99"/>
    <w:semiHidden/>
    <w:unhideWhenUsed/>
    <w:rsid w:val="00380A46"/>
    <w:rPr>
      <w:sz w:val="16"/>
      <w:szCs w:val="16"/>
    </w:rPr>
  </w:style>
  <w:style w:type="paragraph" w:styleId="CommentText">
    <w:name w:val="annotation text"/>
    <w:basedOn w:val="Normal"/>
    <w:link w:val="CommentTextChar"/>
    <w:uiPriority w:val="99"/>
    <w:semiHidden/>
    <w:unhideWhenUsed/>
    <w:rsid w:val="00380A46"/>
    <w:pPr>
      <w:spacing w:line="240" w:lineRule="auto"/>
    </w:pPr>
  </w:style>
  <w:style w:type="character" w:customStyle="1" w:styleId="CommentTextChar">
    <w:name w:val="Comment Text Char"/>
    <w:basedOn w:val="DefaultParagraphFont"/>
    <w:link w:val="CommentText"/>
    <w:uiPriority w:val="99"/>
    <w:semiHidden/>
    <w:rsid w:val="00380A46"/>
    <w:rPr>
      <w:sz w:val="20"/>
      <w:szCs w:val="20"/>
    </w:rPr>
  </w:style>
  <w:style w:type="paragraph" w:styleId="CommentSubject">
    <w:name w:val="annotation subject"/>
    <w:basedOn w:val="CommentText"/>
    <w:next w:val="CommentText"/>
    <w:link w:val="CommentSubjectChar"/>
    <w:uiPriority w:val="99"/>
    <w:semiHidden/>
    <w:unhideWhenUsed/>
    <w:rsid w:val="00380A46"/>
    <w:rPr>
      <w:b/>
      <w:bCs/>
    </w:rPr>
  </w:style>
  <w:style w:type="character" w:customStyle="1" w:styleId="CommentSubjectChar">
    <w:name w:val="Comment Subject Char"/>
    <w:basedOn w:val="CommentTextChar"/>
    <w:link w:val="CommentSubject"/>
    <w:uiPriority w:val="99"/>
    <w:semiHidden/>
    <w:rsid w:val="00380A46"/>
    <w:rPr>
      <w:b/>
      <w:bCs/>
      <w:sz w:val="20"/>
      <w:szCs w:val="20"/>
    </w:rPr>
  </w:style>
  <w:style w:type="paragraph" w:styleId="Revision">
    <w:name w:val="Revision"/>
    <w:hidden/>
    <w:uiPriority w:val="99"/>
    <w:semiHidden/>
    <w:rsid w:val="00BF279F"/>
    <w:pPr>
      <w:spacing w:after="0" w:line="240" w:lineRule="auto"/>
    </w:pPr>
  </w:style>
  <w:style w:type="character" w:customStyle="1" w:styleId="tgc">
    <w:name w:val="_tgc"/>
    <w:basedOn w:val="DefaultParagraphFont"/>
    <w:rsid w:val="00F75341"/>
  </w:style>
  <w:style w:type="character" w:customStyle="1" w:styleId="notranslate">
    <w:name w:val="notranslate"/>
    <w:rsid w:val="00AE293F"/>
  </w:style>
  <w:style w:type="paragraph" w:customStyle="1" w:styleId="ListParagraph2">
    <w:name w:val="List Paragraph2"/>
    <w:basedOn w:val="Normal"/>
    <w:rsid w:val="005042BB"/>
    <w:pPr>
      <w:numPr>
        <w:numId w:val="24"/>
      </w:numPr>
    </w:pPr>
  </w:style>
  <w:style w:type="character" w:styleId="FollowedHyperlink">
    <w:name w:val="FollowedHyperlink"/>
    <w:basedOn w:val="DefaultParagraphFont"/>
    <w:uiPriority w:val="99"/>
    <w:semiHidden/>
    <w:unhideWhenUsed/>
    <w:rsid w:val="00186E1C"/>
    <w:rPr>
      <w:color w:val="954F72" w:themeColor="followedHyperlink"/>
      <w:u w:val="single"/>
    </w:rPr>
  </w:style>
  <w:style w:type="character" w:customStyle="1" w:styleId="Heading1Char">
    <w:name w:val="Heading 1 Char"/>
    <w:basedOn w:val="DefaultParagraphFont"/>
    <w:link w:val="Heading1"/>
    <w:uiPriority w:val="9"/>
    <w:rsid w:val="002456E9"/>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2456E9"/>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2456E9"/>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2456E9"/>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456E9"/>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456E9"/>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456E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456E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456E9"/>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2456E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456E9"/>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456E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456E9"/>
    <w:rPr>
      <w:color w:val="5A5A5A" w:themeColor="text1" w:themeTint="A5"/>
      <w:spacing w:val="15"/>
    </w:rPr>
  </w:style>
  <w:style w:type="character" w:styleId="Strong">
    <w:name w:val="Strong"/>
    <w:basedOn w:val="DefaultParagraphFont"/>
    <w:uiPriority w:val="22"/>
    <w:qFormat/>
    <w:rsid w:val="002456E9"/>
    <w:rPr>
      <w:b/>
      <w:bCs/>
      <w:color w:val="auto"/>
    </w:rPr>
  </w:style>
  <w:style w:type="paragraph" w:styleId="NoSpacing">
    <w:name w:val="No Spacing"/>
    <w:uiPriority w:val="1"/>
    <w:qFormat/>
    <w:rsid w:val="002456E9"/>
    <w:pPr>
      <w:spacing w:after="0" w:line="240" w:lineRule="auto"/>
    </w:pPr>
  </w:style>
  <w:style w:type="paragraph" w:styleId="Quote">
    <w:name w:val="Quote"/>
    <w:basedOn w:val="Normal"/>
    <w:next w:val="Normal"/>
    <w:link w:val="QuoteChar"/>
    <w:uiPriority w:val="29"/>
    <w:qFormat/>
    <w:rsid w:val="002456E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456E9"/>
    <w:rPr>
      <w:i/>
      <w:iCs/>
      <w:color w:val="404040" w:themeColor="text1" w:themeTint="BF"/>
    </w:rPr>
  </w:style>
  <w:style w:type="paragraph" w:styleId="IntenseQuote">
    <w:name w:val="Intense Quote"/>
    <w:basedOn w:val="Normal"/>
    <w:next w:val="Normal"/>
    <w:link w:val="IntenseQuoteChar"/>
    <w:uiPriority w:val="30"/>
    <w:qFormat/>
    <w:rsid w:val="002456E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456E9"/>
    <w:rPr>
      <w:i/>
      <w:iCs/>
      <w:color w:val="404040" w:themeColor="text1" w:themeTint="BF"/>
    </w:rPr>
  </w:style>
  <w:style w:type="character" w:styleId="SubtleEmphasis">
    <w:name w:val="Subtle Emphasis"/>
    <w:basedOn w:val="DefaultParagraphFont"/>
    <w:uiPriority w:val="19"/>
    <w:qFormat/>
    <w:rsid w:val="002456E9"/>
    <w:rPr>
      <w:i/>
      <w:iCs/>
      <w:color w:val="404040" w:themeColor="text1" w:themeTint="BF"/>
    </w:rPr>
  </w:style>
  <w:style w:type="character" w:styleId="IntenseEmphasis">
    <w:name w:val="Intense Emphasis"/>
    <w:basedOn w:val="DefaultParagraphFont"/>
    <w:uiPriority w:val="21"/>
    <w:qFormat/>
    <w:rsid w:val="002456E9"/>
    <w:rPr>
      <w:b/>
      <w:bCs/>
      <w:i/>
      <w:iCs/>
      <w:color w:val="auto"/>
    </w:rPr>
  </w:style>
  <w:style w:type="character" w:styleId="SubtleReference">
    <w:name w:val="Subtle Reference"/>
    <w:basedOn w:val="DefaultParagraphFont"/>
    <w:uiPriority w:val="31"/>
    <w:qFormat/>
    <w:rsid w:val="002456E9"/>
    <w:rPr>
      <w:smallCaps/>
      <w:color w:val="404040" w:themeColor="text1" w:themeTint="BF"/>
    </w:rPr>
  </w:style>
  <w:style w:type="character" w:styleId="IntenseReference">
    <w:name w:val="Intense Reference"/>
    <w:basedOn w:val="DefaultParagraphFont"/>
    <w:uiPriority w:val="32"/>
    <w:qFormat/>
    <w:rsid w:val="002456E9"/>
    <w:rPr>
      <w:b/>
      <w:bCs/>
      <w:smallCaps/>
      <w:color w:val="404040" w:themeColor="text1" w:themeTint="BF"/>
      <w:spacing w:val="5"/>
    </w:rPr>
  </w:style>
  <w:style w:type="character" w:styleId="BookTitle">
    <w:name w:val="Book Title"/>
    <w:basedOn w:val="DefaultParagraphFont"/>
    <w:uiPriority w:val="33"/>
    <w:qFormat/>
    <w:rsid w:val="002456E9"/>
    <w:rPr>
      <w:b/>
      <w:bCs/>
      <w:i/>
      <w:iCs/>
      <w:spacing w:val="5"/>
    </w:rPr>
  </w:style>
  <w:style w:type="paragraph" w:styleId="TOCHeading">
    <w:name w:val="TOC Heading"/>
    <w:basedOn w:val="Heading1"/>
    <w:next w:val="Normal"/>
    <w:uiPriority w:val="39"/>
    <w:semiHidden/>
    <w:unhideWhenUsed/>
    <w:qFormat/>
    <w:rsid w:val="002456E9"/>
    <w:pPr>
      <w:outlineLvl w:val="9"/>
    </w:pPr>
  </w:style>
  <w:style w:type="paragraph" w:customStyle="1" w:styleId="EndNoteBibliographyTitle">
    <w:name w:val="EndNote Bibliography Title"/>
    <w:basedOn w:val="Normal"/>
    <w:link w:val="EndNoteBibliographyTitleChar"/>
    <w:rsid w:val="00147C97"/>
    <w:pPr>
      <w:spacing w:after="0"/>
      <w:jc w:val="center"/>
    </w:pPr>
    <w:rPr>
      <w:rFonts w:ascii="Calibri" w:hAnsi="Calibri"/>
      <w:noProof/>
    </w:rPr>
  </w:style>
  <w:style w:type="character" w:customStyle="1" w:styleId="EndNoteBibliographyTitleChar">
    <w:name w:val="EndNote Bibliography Title Char"/>
    <w:basedOn w:val="FootnoteTextChar"/>
    <w:link w:val="EndNoteBibliographyTitle"/>
    <w:rsid w:val="00147C97"/>
    <w:rPr>
      <w:rFonts w:ascii="Calibri" w:hAnsi="Calibri"/>
      <w:noProof/>
      <w:sz w:val="20"/>
      <w:szCs w:val="20"/>
    </w:rPr>
  </w:style>
  <w:style w:type="paragraph" w:customStyle="1" w:styleId="EndNoteBibliography">
    <w:name w:val="EndNote Bibliography"/>
    <w:basedOn w:val="Normal"/>
    <w:link w:val="EndNoteBibliographyChar"/>
    <w:rsid w:val="00147C97"/>
    <w:pPr>
      <w:spacing w:line="240" w:lineRule="auto"/>
    </w:pPr>
    <w:rPr>
      <w:rFonts w:ascii="Calibri" w:hAnsi="Calibri"/>
      <w:noProof/>
    </w:rPr>
  </w:style>
  <w:style w:type="character" w:customStyle="1" w:styleId="EndNoteBibliographyChar">
    <w:name w:val="EndNote Bibliography Char"/>
    <w:basedOn w:val="FootnoteTextChar"/>
    <w:link w:val="EndNoteBibliography"/>
    <w:rsid w:val="00147C97"/>
    <w:rPr>
      <w:rFonts w:ascii="Calibri" w:hAnsi="Calibri"/>
      <w:noProof/>
      <w:sz w:val="20"/>
      <w:szCs w:val="20"/>
    </w:rPr>
  </w:style>
  <w:style w:type="paragraph" w:customStyle="1" w:styleId="Default">
    <w:name w:val="Default"/>
    <w:rsid w:val="008923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5D7BC4"/>
    <w:rPr>
      <w:color w:val="808080"/>
      <w:shd w:val="clear" w:color="auto" w:fill="E6E6E6"/>
    </w:rPr>
  </w:style>
  <w:style w:type="table" w:customStyle="1" w:styleId="TableGrid1">
    <w:name w:val="Table Grid1"/>
    <w:basedOn w:val="TableNormal"/>
    <w:next w:val="TableGrid"/>
    <w:uiPriority w:val="39"/>
    <w:rsid w:val="00E9186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76502">
      <w:bodyDiv w:val="1"/>
      <w:marLeft w:val="0"/>
      <w:marRight w:val="0"/>
      <w:marTop w:val="0"/>
      <w:marBottom w:val="0"/>
      <w:divBdr>
        <w:top w:val="none" w:sz="0" w:space="0" w:color="auto"/>
        <w:left w:val="none" w:sz="0" w:space="0" w:color="auto"/>
        <w:bottom w:val="none" w:sz="0" w:space="0" w:color="auto"/>
        <w:right w:val="none" w:sz="0" w:space="0" w:color="auto"/>
      </w:divBdr>
    </w:div>
    <w:div w:id="399056770">
      <w:bodyDiv w:val="1"/>
      <w:marLeft w:val="0"/>
      <w:marRight w:val="0"/>
      <w:marTop w:val="0"/>
      <w:marBottom w:val="0"/>
      <w:divBdr>
        <w:top w:val="none" w:sz="0" w:space="0" w:color="auto"/>
        <w:left w:val="none" w:sz="0" w:space="0" w:color="auto"/>
        <w:bottom w:val="none" w:sz="0" w:space="0" w:color="auto"/>
        <w:right w:val="none" w:sz="0" w:space="0" w:color="auto"/>
      </w:divBdr>
    </w:div>
    <w:div w:id="421337989">
      <w:bodyDiv w:val="1"/>
      <w:marLeft w:val="0"/>
      <w:marRight w:val="0"/>
      <w:marTop w:val="0"/>
      <w:marBottom w:val="0"/>
      <w:divBdr>
        <w:top w:val="none" w:sz="0" w:space="0" w:color="auto"/>
        <w:left w:val="none" w:sz="0" w:space="0" w:color="auto"/>
        <w:bottom w:val="none" w:sz="0" w:space="0" w:color="auto"/>
        <w:right w:val="none" w:sz="0" w:space="0" w:color="auto"/>
      </w:divBdr>
    </w:div>
    <w:div w:id="521211796">
      <w:bodyDiv w:val="1"/>
      <w:marLeft w:val="0"/>
      <w:marRight w:val="0"/>
      <w:marTop w:val="0"/>
      <w:marBottom w:val="0"/>
      <w:divBdr>
        <w:top w:val="none" w:sz="0" w:space="0" w:color="auto"/>
        <w:left w:val="none" w:sz="0" w:space="0" w:color="auto"/>
        <w:bottom w:val="none" w:sz="0" w:space="0" w:color="auto"/>
        <w:right w:val="none" w:sz="0" w:space="0" w:color="auto"/>
      </w:divBdr>
    </w:div>
    <w:div w:id="601230362">
      <w:bodyDiv w:val="1"/>
      <w:marLeft w:val="0"/>
      <w:marRight w:val="0"/>
      <w:marTop w:val="0"/>
      <w:marBottom w:val="0"/>
      <w:divBdr>
        <w:top w:val="none" w:sz="0" w:space="0" w:color="auto"/>
        <w:left w:val="none" w:sz="0" w:space="0" w:color="auto"/>
        <w:bottom w:val="none" w:sz="0" w:space="0" w:color="auto"/>
        <w:right w:val="none" w:sz="0" w:space="0" w:color="auto"/>
      </w:divBdr>
    </w:div>
    <w:div w:id="826243675">
      <w:bodyDiv w:val="1"/>
      <w:marLeft w:val="0"/>
      <w:marRight w:val="0"/>
      <w:marTop w:val="0"/>
      <w:marBottom w:val="0"/>
      <w:divBdr>
        <w:top w:val="none" w:sz="0" w:space="0" w:color="auto"/>
        <w:left w:val="none" w:sz="0" w:space="0" w:color="auto"/>
        <w:bottom w:val="none" w:sz="0" w:space="0" w:color="auto"/>
        <w:right w:val="none" w:sz="0" w:space="0" w:color="auto"/>
      </w:divBdr>
    </w:div>
    <w:div w:id="1046445732">
      <w:bodyDiv w:val="1"/>
      <w:marLeft w:val="0"/>
      <w:marRight w:val="0"/>
      <w:marTop w:val="0"/>
      <w:marBottom w:val="0"/>
      <w:divBdr>
        <w:top w:val="none" w:sz="0" w:space="0" w:color="auto"/>
        <w:left w:val="none" w:sz="0" w:space="0" w:color="auto"/>
        <w:bottom w:val="none" w:sz="0" w:space="0" w:color="auto"/>
        <w:right w:val="none" w:sz="0" w:space="0" w:color="auto"/>
      </w:divBdr>
    </w:div>
    <w:div w:id="1225485762">
      <w:bodyDiv w:val="1"/>
      <w:marLeft w:val="0"/>
      <w:marRight w:val="0"/>
      <w:marTop w:val="0"/>
      <w:marBottom w:val="0"/>
      <w:divBdr>
        <w:top w:val="none" w:sz="0" w:space="0" w:color="auto"/>
        <w:left w:val="none" w:sz="0" w:space="0" w:color="auto"/>
        <w:bottom w:val="none" w:sz="0" w:space="0" w:color="auto"/>
        <w:right w:val="none" w:sz="0" w:space="0" w:color="auto"/>
      </w:divBdr>
    </w:div>
    <w:div w:id="1436053353">
      <w:bodyDiv w:val="1"/>
      <w:marLeft w:val="0"/>
      <w:marRight w:val="0"/>
      <w:marTop w:val="0"/>
      <w:marBottom w:val="0"/>
      <w:divBdr>
        <w:top w:val="none" w:sz="0" w:space="0" w:color="auto"/>
        <w:left w:val="none" w:sz="0" w:space="0" w:color="auto"/>
        <w:bottom w:val="none" w:sz="0" w:space="0" w:color="auto"/>
        <w:right w:val="none" w:sz="0" w:space="0" w:color="auto"/>
      </w:divBdr>
    </w:div>
    <w:div w:id="1597398553">
      <w:bodyDiv w:val="1"/>
      <w:marLeft w:val="0"/>
      <w:marRight w:val="0"/>
      <w:marTop w:val="0"/>
      <w:marBottom w:val="0"/>
      <w:divBdr>
        <w:top w:val="none" w:sz="0" w:space="0" w:color="auto"/>
        <w:left w:val="none" w:sz="0" w:space="0" w:color="auto"/>
        <w:bottom w:val="none" w:sz="0" w:space="0" w:color="auto"/>
        <w:right w:val="none" w:sz="0" w:space="0" w:color="auto"/>
      </w:divBdr>
    </w:div>
    <w:div w:id="1848984491">
      <w:bodyDiv w:val="1"/>
      <w:marLeft w:val="0"/>
      <w:marRight w:val="0"/>
      <w:marTop w:val="0"/>
      <w:marBottom w:val="0"/>
      <w:divBdr>
        <w:top w:val="none" w:sz="0" w:space="0" w:color="auto"/>
        <w:left w:val="none" w:sz="0" w:space="0" w:color="auto"/>
        <w:bottom w:val="none" w:sz="0" w:space="0" w:color="auto"/>
        <w:right w:val="none" w:sz="0" w:space="0" w:color="auto"/>
      </w:divBdr>
    </w:div>
    <w:div w:id="1869025371">
      <w:bodyDiv w:val="1"/>
      <w:marLeft w:val="0"/>
      <w:marRight w:val="0"/>
      <w:marTop w:val="0"/>
      <w:marBottom w:val="0"/>
      <w:divBdr>
        <w:top w:val="none" w:sz="0" w:space="0" w:color="auto"/>
        <w:left w:val="none" w:sz="0" w:space="0" w:color="auto"/>
        <w:bottom w:val="none" w:sz="0" w:space="0" w:color="auto"/>
        <w:right w:val="none" w:sz="0" w:space="0" w:color="auto"/>
      </w:divBdr>
    </w:div>
    <w:div w:id="1917085325">
      <w:bodyDiv w:val="1"/>
      <w:marLeft w:val="0"/>
      <w:marRight w:val="0"/>
      <w:marTop w:val="0"/>
      <w:marBottom w:val="0"/>
      <w:divBdr>
        <w:top w:val="none" w:sz="0" w:space="0" w:color="auto"/>
        <w:left w:val="none" w:sz="0" w:space="0" w:color="auto"/>
        <w:bottom w:val="none" w:sz="0" w:space="0" w:color="auto"/>
        <w:right w:val="none" w:sz="0" w:space="0" w:color="auto"/>
      </w:divBdr>
    </w:div>
    <w:div w:id="1928268875">
      <w:bodyDiv w:val="1"/>
      <w:marLeft w:val="0"/>
      <w:marRight w:val="0"/>
      <w:marTop w:val="0"/>
      <w:marBottom w:val="0"/>
      <w:divBdr>
        <w:top w:val="none" w:sz="0" w:space="0" w:color="auto"/>
        <w:left w:val="none" w:sz="0" w:space="0" w:color="auto"/>
        <w:bottom w:val="none" w:sz="0" w:space="0" w:color="auto"/>
        <w:right w:val="none" w:sz="0" w:space="0" w:color="auto"/>
      </w:divBdr>
    </w:div>
    <w:div w:id="193161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all.gov/OurPrograms/Institute/ECRReport.aspx" TargetMode="Externa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1" Type="http://schemas.openxmlformats.org/officeDocument/2006/relationships/hyperlink" Target="http://www.udall.gov/documents/Institute/OMB_CEQ_Memorandum_2012.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institute.ecr.gov\officedocuments\office\Institute\Leadership%20Initiatives\Annual%20ECCR%20Reports\FY2016%20Report\2016%20Graph%20Volume%20of%20ECCR%20Case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institute.ecr.gov\officedocuments\office\Institute\Leadership%20Initiatives\ECCR%20Policy%20Forums\2016%20Subgroups\Trends%20Group\Report\Report%20Elements\Analysis%20of%20Annual%20Reports\ECCR%20Annual%20Report%20Agency%20Submission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65287491237502E-2"/>
          <c:y val="5.8457718332042538E-2"/>
          <c:w val="0.90615086157708546"/>
          <c:h val="0.86964981051861956"/>
        </c:manualLayout>
      </c:layout>
      <c:barChart>
        <c:barDir val="bar"/>
        <c:grouping val="clustered"/>
        <c:varyColors val="0"/>
        <c:ser>
          <c:idx val="0"/>
          <c:order val="0"/>
          <c:tx>
            <c:strRef>
              <c:f>'[2016 Graph Volume of ECCR Cases.xlsx]Sheet1'!$D$6</c:f>
              <c:strCache>
                <c:ptCount val="1"/>
                <c:pt idx="0">
                  <c:v>DOI</c:v>
                </c:pt>
              </c:strCache>
            </c:strRef>
          </c:tx>
          <c:spPr>
            <a:solidFill>
              <a:srgbClr val="00B0F0">
                <a:alpha val="85000"/>
              </a:srgbClr>
            </a:solidFill>
            <a:ln w="9525" cap="flat" cmpd="sng" algn="ctr">
              <a:solidFill>
                <a:schemeClr val="lt1">
                  <a:alpha val="50000"/>
                </a:schemeClr>
              </a:solidFill>
              <a:round/>
            </a:ln>
            <a:effectLst/>
          </c:spPr>
          <c:invertIfNegative val="0"/>
          <c:dLbls>
            <c:dLbl>
              <c:idx val="0"/>
              <c:layout>
                <c:manualLayout>
                  <c:x val="-8.4177701607518526E-3"/>
                  <c:y val="-1.4848386464739221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CE-41E1-ABD1-F49677171B12}"/>
                </c:ext>
              </c:extLst>
            </c:dLbl>
            <c:dLbl>
              <c:idx val="1"/>
              <c:layout>
                <c:manualLayout>
                  <c:x val="-8.4177701607518716E-3"/>
                  <c:y val="4.049606725790924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CE-41E1-ABD1-F49677171B12}"/>
                </c:ext>
              </c:extLst>
            </c:dLbl>
            <c:dLbl>
              <c:idx val="2"/>
              <c:layout>
                <c:manualLayout>
                  <c:x val="-1.0496231928838744E-2"/>
                  <c:y val="-1.4848386464739221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CE-41E1-ABD1-F49677171B12}"/>
                </c:ext>
              </c:extLst>
            </c:dLbl>
            <c:dLbl>
              <c:idx val="3"/>
              <c:layout>
                <c:manualLayout>
                  <c:x val="-6.6510776578779917E-3"/>
                  <c:y val="2.02480336289546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CE-41E1-ABD1-F49677171B12}"/>
                </c:ext>
              </c:extLst>
            </c:dLbl>
            <c:dLbl>
              <c:idx val="4"/>
              <c:layout>
                <c:manualLayout>
                  <c:x val="-2.494154121704285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DCE-41E1-ABD1-F49677171B12}"/>
                </c:ext>
              </c:extLst>
            </c:dLbl>
            <c:dLbl>
              <c:idx val="5"/>
              <c:layout>
                <c:manualLayout>
                  <c:x val="-1.0808001194051738E-2"/>
                  <c:y val="-7.424193232369610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DCE-41E1-ABD1-F49677171B12}"/>
                </c:ext>
              </c:extLst>
            </c:dLbl>
            <c:dLbl>
              <c:idx val="6"/>
              <c:layout>
                <c:manualLayout>
                  <c:x val="-8.7295394259648638E-3"/>
                  <c:y val="-3.712096616184805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DCE-41E1-ABD1-F49677171B12}"/>
                </c:ext>
              </c:extLst>
            </c:dLbl>
            <c:dLbl>
              <c:idx val="7"/>
              <c:layout>
                <c:manualLayout>
                  <c:x val="-8.729539425964863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DCE-41E1-ABD1-F49677171B12}"/>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'[2016 Graph Volume of ECCR Cases.xlsx]Sheet1'!$E$5:$N$5</c:f>
              <c:strCache>
                <c:ptCount val="10"/>
                <c:pt idx="0">
                  <c:v>FY07</c:v>
                </c:pt>
                <c:pt idx="1">
                  <c:v>FY08</c:v>
                </c:pt>
                <c:pt idx="2">
                  <c:v>FY09</c:v>
                </c:pt>
                <c:pt idx="3">
                  <c:v>FY10</c:v>
                </c:pt>
                <c:pt idx="4">
                  <c:v>FY11</c:v>
                </c:pt>
                <c:pt idx="5">
                  <c:v>FY12</c:v>
                </c:pt>
                <c:pt idx="6">
                  <c:v>FY13</c:v>
                </c:pt>
                <c:pt idx="7">
                  <c:v>FY14</c:v>
                </c:pt>
                <c:pt idx="8">
                  <c:v>FY15</c:v>
                </c:pt>
                <c:pt idx="9">
                  <c:v>FY16</c:v>
                </c:pt>
              </c:strCache>
            </c:strRef>
          </c:cat>
          <c:val>
            <c:numRef>
              <c:f>'[2016 Graph Volume of ECCR Cases.xlsx]Sheet1'!$E$6:$N$6</c:f>
              <c:numCache>
                <c:formatCode>General</c:formatCode>
                <c:ptCount val="10"/>
                <c:pt idx="0">
                  <c:v>46</c:v>
                </c:pt>
                <c:pt idx="1">
                  <c:v>81</c:v>
                </c:pt>
                <c:pt idx="2">
                  <c:v>92</c:v>
                </c:pt>
                <c:pt idx="3">
                  <c:v>98</c:v>
                </c:pt>
                <c:pt idx="4">
                  <c:v>97</c:v>
                </c:pt>
                <c:pt idx="5">
                  <c:v>94</c:v>
                </c:pt>
                <c:pt idx="6">
                  <c:v>88</c:v>
                </c:pt>
                <c:pt idx="7">
                  <c:v>95</c:v>
                </c:pt>
                <c:pt idx="8">
                  <c:v>113</c:v>
                </c:pt>
                <c:pt idx="9">
                  <c:v>98</c:v>
                </c:pt>
              </c:numCache>
            </c:numRef>
          </c:val>
          <c:extLst>
            <c:ext xmlns:c16="http://schemas.microsoft.com/office/drawing/2014/chart" uri="{C3380CC4-5D6E-409C-BE32-E72D297353CC}">
              <c16:uniqueId val="{00000008-4DCE-41E1-ABD1-F49677171B12}"/>
            </c:ext>
          </c:extLst>
        </c:ser>
        <c:ser>
          <c:idx val="1"/>
          <c:order val="1"/>
          <c:tx>
            <c:strRef>
              <c:f>'[2016 Graph Volume of ECCR Cases.xlsx]Sheet1'!$D$7</c:f>
              <c:strCache>
                <c:ptCount val="1"/>
                <c:pt idx="0">
                  <c:v>DOD</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layout>
                <c:manualLayout>
                  <c:x val="-1.049623192883870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DCE-41E1-ABD1-F49677171B12}"/>
                </c:ext>
              </c:extLst>
            </c:dLbl>
            <c:dLbl>
              <c:idx val="1"/>
              <c:layout>
                <c:manualLayout>
                  <c:x val="-8.4177701607518335E-3"/>
                  <c:y val="-4.049606725790924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DCE-41E1-ABD1-F49677171B12}"/>
                </c:ext>
              </c:extLst>
            </c:dLbl>
            <c:dLbl>
              <c:idx val="2"/>
              <c:layout>
                <c:manualLayout>
                  <c:x val="-4.2608466245781266E-3"/>
                  <c:y val="-2.02480336289546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DCE-41E1-ABD1-F49677171B12}"/>
                </c:ext>
              </c:extLst>
            </c:dLbl>
            <c:dLbl>
              <c:idx val="3"/>
              <c:layout>
                <c:manualLayout>
                  <c:x val="-9.9766164868170266E-3"/>
                  <c:y val="-2.02480336289546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DCE-41E1-ABD1-F49677171B12}"/>
                </c:ext>
              </c:extLst>
            </c:dLbl>
            <c:dLbl>
              <c:idx val="4"/>
              <c:layout>
                <c:manualLayout>
                  <c:x val="-6.6510776578780299E-3"/>
                  <c:y val="-2.02480336289546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DCE-41E1-ABD1-F49677171B12}"/>
                </c:ext>
              </c:extLst>
            </c:dLbl>
            <c:dLbl>
              <c:idx val="5"/>
              <c:layout>
                <c:manualLayout>
                  <c:x val="-7.8981547187301163E-3"/>
                  <c:y val="-2.02480336289546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DCE-41E1-ABD1-F49677171B12}"/>
                </c:ext>
              </c:extLst>
            </c:dLbl>
            <c:dLbl>
              <c:idx val="6"/>
              <c:layout>
                <c:manualLayout>
                  <c:x val="-1.0808001194051776E-2"/>
                  <c:y val="-2.024803362895499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DCE-41E1-ABD1-F49677171B12}"/>
                </c:ext>
              </c:extLst>
            </c:dLbl>
            <c:dLbl>
              <c:idx val="7"/>
              <c:layout>
                <c:manualLayout>
                  <c:x val="-9.9766164868169884E-3"/>
                  <c:y val="-2.024803362895499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DCE-41E1-ABD1-F49677171B12}"/>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'[2016 Graph Volume of ECCR Cases.xlsx]Sheet1'!$E$5:$N$5</c:f>
              <c:strCache>
                <c:ptCount val="10"/>
                <c:pt idx="0">
                  <c:v>FY07</c:v>
                </c:pt>
                <c:pt idx="1">
                  <c:v>FY08</c:v>
                </c:pt>
                <c:pt idx="2">
                  <c:v>FY09</c:v>
                </c:pt>
                <c:pt idx="3">
                  <c:v>FY10</c:v>
                </c:pt>
                <c:pt idx="4">
                  <c:v>FY11</c:v>
                </c:pt>
                <c:pt idx="5">
                  <c:v>FY12</c:v>
                </c:pt>
                <c:pt idx="6">
                  <c:v>FY13</c:v>
                </c:pt>
                <c:pt idx="7">
                  <c:v>FY14</c:v>
                </c:pt>
                <c:pt idx="8">
                  <c:v>FY15</c:v>
                </c:pt>
                <c:pt idx="9">
                  <c:v>FY16</c:v>
                </c:pt>
              </c:strCache>
            </c:strRef>
          </c:cat>
          <c:val>
            <c:numRef>
              <c:f>'[2016 Graph Volume of ECCR Cases.xlsx]Sheet1'!$E$7:$N$7</c:f>
              <c:numCache>
                <c:formatCode>General</c:formatCode>
                <c:ptCount val="10"/>
                <c:pt idx="0">
                  <c:v>74</c:v>
                </c:pt>
                <c:pt idx="1">
                  <c:v>82</c:v>
                </c:pt>
                <c:pt idx="2">
                  <c:v>94</c:v>
                </c:pt>
                <c:pt idx="3">
                  <c:v>104</c:v>
                </c:pt>
                <c:pt idx="4">
                  <c:v>88</c:v>
                </c:pt>
                <c:pt idx="5">
                  <c:v>111</c:v>
                </c:pt>
                <c:pt idx="6">
                  <c:v>91</c:v>
                </c:pt>
                <c:pt idx="7">
                  <c:v>115</c:v>
                </c:pt>
                <c:pt idx="8">
                  <c:v>114</c:v>
                </c:pt>
                <c:pt idx="9">
                  <c:v>39</c:v>
                </c:pt>
              </c:numCache>
            </c:numRef>
          </c:val>
          <c:extLst>
            <c:ext xmlns:c16="http://schemas.microsoft.com/office/drawing/2014/chart" uri="{C3380CC4-5D6E-409C-BE32-E72D297353CC}">
              <c16:uniqueId val="{00000011-4DCE-41E1-ABD1-F49677171B12}"/>
            </c:ext>
          </c:extLst>
        </c:ser>
        <c:ser>
          <c:idx val="2"/>
          <c:order val="2"/>
          <c:tx>
            <c:strRef>
              <c:f>'[2016 Graph Volume of ECCR Cases.xlsx]Sheet1'!$D$8</c:f>
              <c:strCache>
                <c:ptCount val="1"/>
                <c:pt idx="0">
                  <c:v>FERC</c:v>
                </c:pt>
              </c:strCache>
            </c:strRef>
          </c:tx>
          <c:spPr>
            <a:solidFill>
              <a:schemeClr val="accent3">
                <a:alpha val="85000"/>
              </a:schemeClr>
            </a:solidFill>
            <a:ln w="9525" cap="flat" cmpd="sng" algn="ctr">
              <a:solidFill>
                <a:schemeClr val="lt1">
                  <a:alpha val="50000"/>
                </a:schemeClr>
              </a:solidFill>
              <a:round/>
            </a:ln>
            <a:effectLst/>
          </c:spPr>
          <c:invertIfNegative val="0"/>
          <c:dLbls>
            <c:dLbl>
              <c:idx val="0"/>
              <c:layout>
                <c:manualLayout>
                  <c:x val="-1.0496231928838706E-2"/>
                  <c:y val="-2.02480336289561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DCE-41E1-ABD1-F49677171B12}"/>
                </c:ext>
              </c:extLst>
            </c:dLbl>
            <c:dLbl>
              <c:idx val="1"/>
              <c:layout>
                <c:manualLayout>
                  <c:x val="-7.2772347228150297E-3"/>
                  <c:y val="-2.02480336289561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DCE-41E1-ABD1-F49677171B12}"/>
                </c:ext>
              </c:extLst>
            </c:dLbl>
            <c:dLbl>
              <c:idx val="2"/>
              <c:layout>
                <c:manualLayout>
                  <c:x val="-1.123973207154883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DCE-41E1-ABD1-F49677171B12}"/>
                </c:ext>
              </c:extLst>
            </c:dLbl>
            <c:dLbl>
              <c:idx val="3"/>
              <c:layout>
                <c:manualLayout>
                  <c:x val="-8.7295394259648829E-3"/>
                  <c:y val="-2.02480336289546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DCE-41E1-ABD1-F49677171B12}"/>
                </c:ext>
              </c:extLst>
            </c:dLbl>
            <c:dLbl>
              <c:idx val="4"/>
              <c:layout>
                <c:manualLayout>
                  <c:x val="-1.080800119405173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DCE-41E1-ABD1-F49677171B12}"/>
                </c:ext>
              </c:extLst>
            </c:dLbl>
            <c:dLbl>
              <c:idx val="5"/>
              <c:layout>
                <c:manualLayout>
                  <c:x val="-1.288646296213864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DCE-41E1-ABD1-F49677171B12}"/>
                </c:ext>
              </c:extLst>
            </c:dLbl>
            <c:dLbl>
              <c:idx val="6"/>
              <c:layout>
                <c:manualLayout>
                  <c:x val="-8.729539425964882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4DCE-41E1-ABD1-F49677171B12}"/>
                </c:ext>
              </c:extLst>
            </c:dLbl>
            <c:dLbl>
              <c:idx val="7"/>
              <c:layout>
                <c:manualLayout>
                  <c:x val="-1.288646296213862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DCE-41E1-ABD1-F49677171B12}"/>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'[2016 Graph Volume of ECCR Cases.xlsx]Sheet1'!$E$5:$N$5</c:f>
              <c:strCache>
                <c:ptCount val="10"/>
                <c:pt idx="0">
                  <c:v>FY07</c:v>
                </c:pt>
                <c:pt idx="1">
                  <c:v>FY08</c:v>
                </c:pt>
                <c:pt idx="2">
                  <c:v>FY09</c:v>
                </c:pt>
                <c:pt idx="3">
                  <c:v>FY10</c:v>
                </c:pt>
                <c:pt idx="4">
                  <c:v>FY11</c:v>
                </c:pt>
                <c:pt idx="5">
                  <c:v>FY12</c:v>
                </c:pt>
                <c:pt idx="6">
                  <c:v>FY13</c:v>
                </c:pt>
                <c:pt idx="7">
                  <c:v>FY14</c:v>
                </c:pt>
                <c:pt idx="8">
                  <c:v>FY15</c:v>
                </c:pt>
                <c:pt idx="9">
                  <c:v>FY16</c:v>
                </c:pt>
              </c:strCache>
            </c:strRef>
          </c:cat>
          <c:val>
            <c:numRef>
              <c:f>'[2016 Graph Volume of ECCR Cases.xlsx]Sheet1'!$E$8:$N$8</c:f>
              <c:numCache>
                <c:formatCode>General</c:formatCode>
                <c:ptCount val="10"/>
                <c:pt idx="0">
                  <c:v>21</c:v>
                </c:pt>
                <c:pt idx="1">
                  <c:v>16</c:v>
                </c:pt>
                <c:pt idx="2">
                  <c:v>19</c:v>
                </c:pt>
                <c:pt idx="3">
                  <c:v>53</c:v>
                </c:pt>
                <c:pt idx="4">
                  <c:v>78</c:v>
                </c:pt>
                <c:pt idx="5">
                  <c:v>74</c:v>
                </c:pt>
                <c:pt idx="6">
                  <c:v>51</c:v>
                </c:pt>
                <c:pt idx="7">
                  <c:v>32</c:v>
                </c:pt>
                <c:pt idx="8">
                  <c:v>107</c:v>
                </c:pt>
                <c:pt idx="9">
                  <c:v>55</c:v>
                </c:pt>
              </c:numCache>
            </c:numRef>
          </c:val>
          <c:extLst>
            <c:ext xmlns:c16="http://schemas.microsoft.com/office/drawing/2014/chart" uri="{C3380CC4-5D6E-409C-BE32-E72D297353CC}">
              <c16:uniqueId val="{0000001A-4DCE-41E1-ABD1-F49677171B12}"/>
            </c:ext>
          </c:extLst>
        </c:ser>
        <c:ser>
          <c:idx val="3"/>
          <c:order val="3"/>
          <c:tx>
            <c:strRef>
              <c:f>'[2016 Graph Volume of ECCR Cases.xlsx]Sheet1'!$D$9</c:f>
              <c:strCache>
                <c:ptCount val="1"/>
                <c:pt idx="0">
                  <c:v>EPA</c:v>
                </c:pt>
              </c:strCache>
            </c:strRef>
          </c:tx>
          <c:spPr>
            <a:solidFill>
              <a:schemeClr val="accent4">
                <a:alpha val="85000"/>
              </a:schemeClr>
            </a:solidFill>
            <a:ln w="9525" cap="flat" cmpd="sng" algn="ctr">
              <a:solidFill>
                <a:schemeClr val="lt1">
                  <a:alpha val="50000"/>
                </a:schemeClr>
              </a:solidFill>
              <a:round/>
            </a:ln>
            <a:effectLst/>
          </c:spPr>
          <c:invertIfNegative val="0"/>
          <c:dLbls>
            <c:dLbl>
              <c:idx val="0"/>
              <c:layout>
                <c:manualLayout>
                  <c:x val="-1.049623192883870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4DCE-41E1-ABD1-F49677171B12}"/>
                </c:ext>
              </c:extLst>
            </c:dLbl>
            <c:dLbl>
              <c:idx val="1"/>
              <c:layout>
                <c:manualLayout>
                  <c:x val="-8.4696498757505373E-3"/>
                  <c:y val="-2.02480336289546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4DCE-41E1-ABD1-F49677171B12}"/>
                </c:ext>
              </c:extLst>
            </c:dLbl>
            <c:dLbl>
              <c:idx val="2"/>
              <c:layout>
                <c:manualLayout>
                  <c:x val="-1.054811164383744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4DCE-41E1-ABD1-F49677171B12}"/>
                </c:ext>
              </c:extLst>
            </c:dLbl>
            <c:dLbl>
              <c:idx val="3"/>
              <c:layout>
                <c:manualLayout>
                  <c:x val="-1.2055078254903822E-2"/>
                  <c:y val="-2.024803362895536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4DCE-41E1-ABD1-F49677171B12}"/>
                </c:ext>
              </c:extLst>
            </c:dLbl>
            <c:dLbl>
              <c:idx val="4"/>
              <c:layout>
                <c:manualLayout>
                  <c:x val="-1.2055078254903899E-2"/>
                  <c:y val="-7.424193232369610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4DCE-41E1-ABD1-F49677171B12}"/>
                </c:ext>
              </c:extLst>
            </c:dLbl>
            <c:dLbl>
              <c:idx val="5"/>
              <c:layout>
                <c:manualLayout>
                  <c:x val="-9.9766164868170266E-3"/>
                  <c:y val="-2.024803362895536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4DCE-41E1-ABD1-F49677171B12}"/>
                </c:ext>
              </c:extLst>
            </c:dLbl>
            <c:dLbl>
              <c:idx val="6"/>
              <c:layout>
                <c:manualLayout>
                  <c:x val="-1.205507825490386E-2"/>
                  <c:y val="-2.02480336289546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4DCE-41E1-ABD1-F49677171B12}"/>
                </c:ext>
              </c:extLst>
            </c:dLbl>
            <c:dLbl>
              <c:idx val="7"/>
              <c:layout>
                <c:manualLayout>
                  <c:x val="-1.2055078254903937E-2"/>
                  <c:y val="-1.856048308092402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4DCE-41E1-ABD1-F49677171B12}"/>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'[2016 Graph Volume of ECCR Cases.xlsx]Sheet1'!$E$5:$N$5</c:f>
              <c:strCache>
                <c:ptCount val="10"/>
                <c:pt idx="0">
                  <c:v>FY07</c:v>
                </c:pt>
                <c:pt idx="1">
                  <c:v>FY08</c:v>
                </c:pt>
                <c:pt idx="2">
                  <c:v>FY09</c:v>
                </c:pt>
                <c:pt idx="3">
                  <c:v>FY10</c:v>
                </c:pt>
                <c:pt idx="4">
                  <c:v>FY11</c:v>
                </c:pt>
                <c:pt idx="5">
                  <c:v>FY12</c:v>
                </c:pt>
                <c:pt idx="6">
                  <c:v>FY13</c:v>
                </c:pt>
                <c:pt idx="7">
                  <c:v>FY14</c:v>
                </c:pt>
                <c:pt idx="8">
                  <c:v>FY15</c:v>
                </c:pt>
                <c:pt idx="9">
                  <c:v>FY16</c:v>
                </c:pt>
              </c:strCache>
            </c:strRef>
          </c:cat>
          <c:val>
            <c:numRef>
              <c:f>'[2016 Graph Volume of ECCR Cases.xlsx]Sheet1'!$E$9:$N$9</c:f>
              <c:numCache>
                <c:formatCode>General</c:formatCode>
                <c:ptCount val="10"/>
                <c:pt idx="0">
                  <c:v>90</c:v>
                </c:pt>
                <c:pt idx="1">
                  <c:v>142</c:v>
                </c:pt>
                <c:pt idx="2">
                  <c:v>131</c:v>
                </c:pt>
                <c:pt idx="3">
                  <c:v>106</c:v>
                </c:pt>
                <c:pt idx="4">
                  <c:v>119</c:v>
                </c:pt>
                <c:pt idx="5">
                  <c:v>104</c:v>
                </c:pt>
                <c:pt idx="6">
                  <c:v>166</c:v>
                </c:pt>
                <c:pt idx="7">
                  <c:v>184</c:v>
                </c:pt>
                <c:pt idx="8">
                  <c:v>161</c:v>
                </c:pt>
                <c:pt idx="9">
                  <c:v>145</c:v>
                </c:pt>
              </c:numCache>
            </c:numRef>
          </c:val>
          <c:extLst>
            <c:ext xmlns:c16="http://schemas.microsoft.com/office/drawing/2014/chart" uri="{C3380CC4-5D6E-409C-BE32-E72D297353CC}">
              <c16:uniqueId val="{00000023-4DCE-41E1-ABD1-F49677171B12}"/>
            </c:ext>
          </c:extLst>
        </c:ser>
        <c:ser>
          <c:idx val="4"/>
          <c:order val="4"/>
          <c:tx>
            <c:strRef>
              <c:f>'[2016 Graph Volume of ECCR Cases.xlsx]Sheet1'!$D$10</c:f>
              <c:strCache>
                <c:ptCount val="1"/>
                <c:pt idx="0">
                  <c:v>Other</c:v>
                </c:pt>
              </c:strCache>
            </c:strRef>
          </c:tx>
          <c:spPr>
            <a:solidFill>
              <a:schemeClr val="accent5">
                <a:alpha val="85000"/>
              </a:schemeClr>
            </a:solidFill>
            <a:ln w="9525" cap="flat" cmpd="sng" algn="ctr">
              <a:solidFill>
                <a:schemeClr val="lt1">
                  <a:alpha val="50000"/>
                </a:schemeClr>
              </a:solidFill>
              <a:round/>
            </a:ln>
            <a:effectLst/>
          </c:spPr>
          <c:invertIfNegative val="0"/>
          <c:dLbls>
            <c:dLbl>
              <c:idx val="0"/>
              <c:layout>
                <c:manualLayout>
                  <c:x val="-1.049623192883872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4DCE-41E1-ABD1-F49677171B12}"/>
                </c:ext>
              </c:extLst>
            </c:dLbl>
            <c:dLbl>
              <c:idx val="1"/>
              <c:layout>
                <c:manualLayout>
                  <c:x val="-7.9251583558745519E-3"/>
                  <c:y val="-1.4848386464739221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4DCE-41E1-ABD1-F49677171B12}"/>
                </c:ext>
              </c:extLst>
            </c:dLbl>
            <c:dLbl>
              <c:idx val="2"/>
              <c:layout>
                <c:manualLayout>
                  <c:x val="-7.8603496267279152E-3"/>
                  <c:y val="-7.424193232369610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4DCE-41E1-ABD1-F49677171B12}"/>
                </c:ext>
              </c:extLst>
            </c:dLbl>
            <c:dLbl>
              <c:idx val="3"/>
              <c:layout>
                <c:manualLayout>
                  <c:x val="-7.3418797935547392E-3"/>
                  <c:y val="-2.02480336289546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4DCE-41E1-ABD1-F49677171B12}"/>
                </c:ext>
              </c:extLst>
            </c:dLbl>
            <c:dLbl>
              <c:idx val="4"/>
              <c:layout>
                <c:manualLayout>
                  <c:x val="-7.5442200159762827E-3"/>
                  <c:y val="-7.424193232369610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4DCE-41E1-ABD1-F49677171B12}"/>
                </c:ext>
              </c:extLst>
            </c:dLbl>
            <c:dLbl>
              <c:idx val="5"/>
              <c:layout>
                <c:manualLayout>
                  <c:x val="-5.004346767288219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4DCE-41E1-ABD1-F49677171B12}"/>
                </c:ext>
              </c:extLst>
            </c:dLbl>
            <c:dLbl>
              <c:idx val="6"/>
              <c:layout>
                <c:manualLayout>
                  <c:x val="-1.080800119405173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4DCE-41E1-ABD1-F49677171B12}"/>
                </c:ext>
              </c:extLst>
            </c:dLbl>
            <c:dLbl>
              <c:idx val="7"/>
              <c:layout>
                <c:manualLayout>
                  <c:x val="-1.140134657080908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4DCE-41E1-ABD1-F49677171B12}"/>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'[2016 Graph Volume of ECCR Cases.xlsx]Sheet1'!$E$5:$N$5</c:f>
              <c:strCache>
                <c:ptCount val="10"/>
                <c:pt idx="0">
                  <c:v>FY07</c:v>
                </c:pt>
                <c:pt idx="1">
                  <c:v>FY08</c:v>
                </c:pt>
                <c:pt idx="2">
                  <c:v>FY09</c:v>
                </c:pt>
                <c:pt idx="3">
                  <c:v>FY10</c:v>
                </c:pt>
                <c:pt idx="4">
                  <c:v>FY11</c:v>
                </c:pt>
                <c:pt idx="5">
                  <c:v>FY12</c:v>
                </c:pt>
                <c:pt idx="6">
                  <c:v>FY13</c:v>
                </c:pt>
                <c:pt idx="7">
                  <c:v>FY14</c:v>
                </c:pt>
                <c:pt idx="8">
                  <c:v>FY15</c:v>
                </c:pt>
                <c:pt idx="9">
                  <c:v>FY16</c:v>
                </c:pt>
              </c:strCache>
            </c:strRef>
          </c:cat>
          <c:val>
            <c:numRef>
              <c:f>'[2016 Graph Volume of ECCR Cases.xlsx]Sheet1'!$E$10:$N$10</c:f>
              <c:numCache>
                <c:formatCode>General</c:formatCode>
                <c:ptCount val="10"/>
                <c:pt idx="0">
                  <c:v>26</c:v>
                </c:pt>
                <c:pt idx="1">
                  <c:v>6</c:v>
                </c:pt>
                <c:pt idx="2">
                  <c:v>7</c:v>
                </c:pt>
                <c:pt idx="3">
                  <c:v>15</c:v>
                </c:pt>
                <c:pt idx="4">
                  <c:v>13</c:v>
                </c:pt>
                <c:pt idx="5">
                  <c:v>19</c:v>
                </c:pt>
                <c:pt idx="6">
                  <c:v>24</c:v>
                </c:pt>
                <c:pt idx="7">
                  <c:v>18</c:v>
                </c:pt>
                <c:pt idx="8">
                  <c:v>17</c:v>
                </c:pt>
                <c:pt idx="9">
                  <c:v>31</c:v>
                </c:pt>
              </c:numCache>
            </c:numRef>
          </c:val>
          <c:extLst>
            <c:ext xmlns:c16="http://schemas.microsoft.com/office/drawing/2014/chart" uri="{C3380CC4-5D6E-409C-BE32-E72D297353CC}">
              <c16:uniqueId val="{0000002C-4DCE-41E1-ABD1-F49677171B12}"/>
            </c:ext>
          </c:extLst>
        </c:ser>
        <c:ser>
          <c:idx val="5"/>
          <c:order val="5"/>
          <c:tx>
            <c:strRef>
              <c:f>'[2016 Graph Volume of ECCR Cases.xlsx]Sheet1'!$D$11</c:f>
              <c:strCache>
                <c:ptCount val="1"/>
                <c:pt idx="0">
                  <c:v>Agency Totals</c:v>
                </c:pt>
              </c:strCache>
            </c:strRef>
          </c:tx>
          <c:spPr>
            <a:solidFill>
              <a:schemeClr val="accent6">
                <a:lumMod val="40000"/>
                <a:lumOff val="60000"/>
                <a:alpha val="85000"/>
              </a:schemeClr>
            </a:solidFill>
            <a:ln w="9525" cap="flat" cmpd="sng" algn="ctr">
              <a:no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'[2016 Graph Volume of ECCR Cases.xlsx]Sheet1'!$E$5:$N$5</c:f>
              <c:strCache>
                <c:ptCount val="10"/>
                <c:pt idx="0">
                  <c:v>FY07</c:v>
                </c:pt>
                <c:pt idx="1">
                  <c:v>FY08</c:v>
                </c:pt>
                <c:pt idx="2">
                  <c:v>FY09</c:v>
                </c:pt>
                <c:pt idx="3">
                  <c:v>FY10</c:v>
                </c:pt>
                <c:pt idx="4">
                  <c:v>FY11</c:v>
                </c:pt>
                <c:pt idx="5">
                  <c:v>FY12</c:v>
                </c:pt>
                <c:pt idx="6">
                  <c:v>FY13</c:v>
                </c:pt>
                <c:pt idx="7">
                  <c:v>FY14</c:v>
                </c:pt>
                <c:pt idx="8">
                  <c:v>FY15</c:v>
                </c:pt>
                <c:pt idx="9">
                  <c:v>FY16</c:v>
                </c:pt>
              </c:strCache>
            </c:strRef>
          </c:cat>
          <c:val>
            <c:numRef>
              <c:f>'[2016 Graph Volume of ECCR Cases.xlsx]Sheet1'!$E$11:$N$11</c:f>
              <c:numCache>
                <c:formatCode>General</c:formatCode>
                <c:ptCount val="10"/>
                <c:pt idx="0">
                  <c:v>257</c:v>
                </c:pt>
                <c:pt idx="1">
                  <c:v>327</c:v>
                </c:pt>
                <c:pt idx="2">
                  <c:v>343</c:v>
                </c:pt>
                <c:pt idx="3">
                  <c:v>376</c:v>
                </c:pt>
                <c:pt idx="4">
                  <c:v>395</c:v>
                </c:pt>
                <c:pt idx="5">
                  <c:v>402</c:v>
                </c:pt>
                <c:pt idx="6">
                  <c:v>420</c:v>
                </c:pt>
                <c:pt idx="7">
                  <c:v>444</c:v>
                </c:pt>
                <c:pt idx="8">
                  <c:v>512</c:v>
                </c:pt>
                <c:pt idx="9">
                  <c:v>368</c:v>
                </c:pt>
              </c:numCache>
            </c:numRef>
          </c:val>
          <c:extLst>
            <c:ext xmlns:c16="http://schemas.microsoft.com/office/drawing/2014/chart" uri="{C3380CC4-5D6E-409C-BE32-E72D297353CC}">
              <c16:uniqueId val="{0000002D-4DCE-41E1-ABD1-F49677171B12}"/>
            </c:ext>
          </c:extLst>
        </c:ser>
        <c:dLbls>
          <c:dLblPos val="inEnd"/>
          <c:showLegendKey val="0"/>
          <c:showVal val="1"/>
          <c:showCatName val="0"/>
          <c:showSerName val="0"/>
          <c:showPercent val="0"/>
          <c:showBubbleSize val="0"/>
        </c:dLbls>
        <c:gapWidth val="284"/>
        <c:axId val="279234928"/>
        <c:axId val="279235320"/>
      </c:barChart>
      <c:catAx>
        <c:axId val="279234928"/>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tx1"/>
                </a:solidFill>
                <a:latin typeface="Segoe UI" panose="020B0502040204020203" pitchFamily="34" charset="0"/>
                <a:ea typeface="Segoe UI" panose="020B0502040204020203" pitchFamily="34" charset="0"/>
                <a:cs typeface="Segoe UI" panose="020B0502040204020203" pitchFamily="34" charset="0"/>
              </a:defRPr>
            </a:pPr>
            <a:endParaRPr lang="en-US"/>
          </a:p>
        </c:txPr>
        <c:crossAx val="279235320"/>
        <c:crosses val="autoZero"/>
        <c:auto val="1"/>
        <c:lblAlgn val="ctr"/>
        <c:lblOffset val="100"/>
        <c:tickMarkSkip val="10"/>
        <c:noMultiLvlLbl val="0"/>
      </c:catAx>
      <c:valAx>
        <c:axId val="279235320"/>
        <c:scaling>
          <c:orientation val="minMax"/>
          <c:max val="550"/>
          <c:min val="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79234928"/>
        <c:crosses val="autoZero"/>
        <c:crossBetween val="between"/>
      </c:valAx>
      <c:spPr>
        <a:noFill/>
        <a:ln>
          <a:noFill/>
        </a:ln>
        <a:effectLst/>
      </c:spPr>
    </c:plotArea>
    <c:legend>
      <c:legendPos val="b"/>
      <c:layout>
        <c:manualLayout>
          <c:xMode val="edge"/>
          <c:yMode val="edge"/>
          <c:x val="0.15720656935701088"/>
          <c:y val="1.9691336444057947E-2"/>
          <c:w val="0.60960725881633315"/>
          <c:h val="3.9655711142469602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1" i="0" u="none" strike="noStrike" kern="1200" baseline="0">
              <a:solidFill>
                <a:schemeClr val="tx1"/>
              </a:solidFill>
              <a:latin typeface="Segoe UI" panose="020B0502040204020203" pitchFamily="34" charset="0"/>
              <a:ea typeface="Segoe UI" panose="020B0502040204020203" pitchFamily="34" charset="0"/>
              <a:cs typeface="Segoe UI" panose="020B0502040204020203" pitchFamily="34" charset="0"/>
            </a:defRPr>
          </a:pPr>
          <a:endParaRPr lang="en-US"/>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Agency</a:t>
            </a:r>
            <a:r>
              <a:rPr lang="en-US" baseline="0"/>
              <a:t> Reports Submitted by Year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13648293963254E-2"/>
          <c:y val="0.17171296296296298"/>
          <c:w val="0.90286351706036749"/>
          <c:h val="0.72088764946048411"/>
        </c:manualLayout>
      </c:layout>
      <c:barChart>
        <c:barDir val="col"/>
        <c:grouping val="clustered"/>
        <c:varyColors val="0"/>
        <c:ser>
          <c:idx val="0"/>
          <c:order val="0"/>
          <c:tx>
            <c:strRef>
              <c:f>'# of Reporting Agencies by Year'!$A$2</c:f>
              <c:strCache>
                <c:ptCount val="1"/>
                <c:pt idx="0">
                  <c:v>Number of Agencies</c:v>
                </c:pt>
              </c:strCache>
            </c:strRef>
          </c:tx>
          <c:spPr>
            <a:solidFill>
              <a:schemeClr val="tx1">
                <a:lumMod val="75000"/>
                <a:lumOff val="25000"/>
              </a:schemeClr>
            </a:solidFill>
            <a:ln>
              <a:solidFill>
                <a:schemeClr val="tx1"/>
              </a:solidFill>
            </a:ln>
            <a:effectLst/>
          </c:spPr>
          <c:invertIfNegative val="0"/>
          <c:dLbls>
            <c:dLbl>
              <c:idx val="0"/>
              <c:layout>
                <c:manualLayout>
                  <c:x val="-1.2731334408019993E-17"/>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93-4EE0-A061-A8F4082C890C}"/>
                </c:ext>
              </c:extLst>
            </c:dLbl>
            <c:dLbl>
              <c:idx val="1"/>
              <c:layout>
                <c:manualLayout>
                  <c:x val="-2.5462668816039986E-17"/>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93-4EE0-A061-A8F4082C890C}"/>
                </c:ext>
              </c:extLst>
            </c:dLbl>
            <c:dLbl>
              <c:idx val="2"/>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93-4EE0-A061-A8F4082C890C}"/>
                </c:ext>
              </c:extLst>
            </c:dLbl>
            <c:dLbl>
              <c:idx val="3"/>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93-4EE0-A061-A8F4082C890C}"/>
                </c:ext>
              </c:extLst>
            </c:dLbl>
            <c:dLbl>
              <c:idx val="10"/>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EE1-47A6-BF25-D1D45F1649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of Reporting Agencies by Year'!$B$1:$L$1</c:f>
              <c:strCache>
                <c:ptCount val="11"/>
                <c:pt idx="0">
                  <c:v>FY 06</c:v>
                </c:pt>
                <c:pt idx="1">
                  <c:v>FY 07</c:v>
                </c:pt>
                <c:pt idx="2">
                  <c:v>FY 08</c:v>
                </c:pt>
                <c:pt idx="3">
                  <c:v>FY 09</c:v>
                </c:pt>
                <c:pt idx="4">
                  <c:v>FY 10</c:v>
                </c:pt>
                <c:pt idx="5">
                  <c:v>FY 11</c:v>
                </c:pt>
                <c:pt idx="6">
                  <c:v>FY 12</c:v>
                </c:pt>
                <c:pt idx="7">
                  <c:v>FY 13</c:v>
                </c:pt>
                <c:pt idx="8">
                  <c:v>FY 14</c:v>
                </c:pt>
                <c:pt idx="9">
                  <c:v>FY 15</c:v>
                </c:pt>
                <c:pt idx="10">
                  <c:v>FY16</c:v>
                </c:pt>
              </c:strCache>
            </c:strRef>
          </c:cat>
          <c:val>
            <c:numRef>
              <c:f>'# of Reporting Agencies by Year'!$B$2:$L$2</c:f>
              <c:numCache>
                <c:formatCode>General</c:formatCode>
                <c:ptCount val="11"/>
                <c:pt idx="0">
                  <c:v>23</c:v>
                </c:pt>
                <c:pt idx="1">
                  <c:v>23</c:v>
                </c:pt>
                <c:pt idx="2">
                  <c:v>21</c:v>
                </c:pt>
                <c:pt idx="3">
                  <c:v>18</c:v>
                </c:pt>
                <c:pt idx="4">
                  <c:v>16</c:v>
                </c:pt>
                <c:pt idx="5">
                  <c:v>15</c:v>
                </c:pt>
                <c:pt idx="6">
                  <c:v>15</c:v>
                </c:pt>
                <c:pt idx="7">
                  <c:v>17</c:v>
                </c:pt>
                <c:pt idx="8">
                  <c:v>14</c:v>
                </c:pt>
                <c:pt idx="9">
                  <c:v>15</c:v>
                </c:pt>
                <c:pt idx="10">
                  <c:v>12</c:v>
                </c:pt>
              </c:numCache>
            </c:numRef>
          </c:val>
          <c:extLst>
            <c:ext xmlns:c16="http://schemas.microsoft.com/office/drawing/2014/chart" uri="{C3380CC4-5D6E-409C-BE32-E72D297353CC}">
              <c16:uniqueId val="{00000004-B593-4EE0-A061-A8F4082C890C}"/>
            </c:ext>
          </c:extLst>
        </c:ser>
        <c:dLbls>
          <c:showLegendKey val="0"/>
          <c:showVal val="0"/>
          <c:showCatName val="0"/>
          <c:showSerName val="0"/>
          <c:showPercent val="0"/>
          <c:showBubbleSize val="0"/>
        </c:dLbls>
        <c:gapWidth val="219"/>
        <c:overlap val="-27"/>
        <c:axId val="525019040"/>
        <c:axId val="525019432"/>
      </c:barChart>
      <c:catAx>
        <c:axId val="52501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019432"/>
        <c:crosses val="autoZero"/>
        <c:auto val="1"/>
        <c:lblAlgn val="ctr"/>
        <c:lblOffset val="100"/>
        <c:noMultiLvlLbl val="0"/>
      </c:catAx>
      <c:valAx>
        <c:axId val="525019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019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44A5C9-DA12-453C-8D5F-4E516F4933C9}" type="doc">
      <dgm:prSet loTypeId="urn:microsoft.com/office/officeart/2005/8/layout/hList1" loCatId="list" qsTypeId="urn:microsoft.com/office/officeart/2005/8/quickstyle/simple1" qsCatId="simple" csTypeId="urn:microsoft.com/office/officeart/2005/8/colors/accent1_1" csCatId="accent1" phldr="1"/>
      <dgm:spPr/>
      <dgm:t>
        <a:bodyPr/>
        <a:lstStyle/>
        <a:p>
          <a:endParaRPr lang="en-US"/>
        </a:p>
      </dgm:t>
    </dgm:pt>
    <dgm:pt modelId="{456B1794-C07A-45D7-AA39-E8179BCAEA02}">
      <dgm:prSet phldrT="[Text]" custT="1"/>
      <dgm:spPr>
        <a:xfrm>
          <a:off x="2857" y="3620"/>
          <a:ext cx="1095374" cy="438150"/>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lIns="73152" rIns="73152"/>
        <a:lstStyle/>
        <a:p>
          <a:r>
            <a:rPr lang="en-US" sz="950">
              <a:solidFill>
                <a:sysClr val="windowText" lastClr="000000"/>
              </a:solidFill>
              <a:latin typeface="Calibri"/>
              <a:ea typeface="+mn-ea"/>
              <a:cs typeface="+mn-cs"/>
            </a:rPr>
            <a:t>Acts &amp; Laws</a:t>
          </a:r>
        </a:p>
      </dgm:t>
    </dgm:pt>
    <dgm:pt modelId="{74584F1D-9259-4534-B4B7-A0C9D9CD8F4E}" type="parTrans" cxnId="{D882F66D-1D30-497E-A902-8ABEE3D212C2}">
      <dgm:prSet/>
      <dgm:spPr/>
      <dgm:t>
        <a:bodyPr/>
        <a:lstStyle/>
        <a:p>
          <a:endParaRPr lang="en-US"/>
        </a:p>
      </dgm:t>
    </dgm:pt>
    <dgm:pt modelId="{B953FAD7-30AB-4A7C-BC26-0515758AB742}" type="sibTrans" cxnId="{D882F66D-1D30-497E-A902-8ABEE3D212C2}">
      <dgm:prSet/>
      <dgm:spPr/>
      <dgm:t>
        <a:bodyPr/>
        <a:lstStyle/>
        <a:p>
          <a:endParaRPr lang="en-US"/>
        </a:p>
      </dgm:t>
    </dgm:pt>
    <dgm:pt modelId="{C48AEE1A-96C6-46B9-BAB5-4CC15C9044D8}">
      <dgm:prSet phldrT="[Text]" custT="1"/>
      <dgm:spPr>
        <a:xfrm>
          <a:off x="1251585" y="3620"/>
          <a:ext cx="1095374" cy="438150"/>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en-US" sz="950">
              <a:solidFill>
                <a:sysClr val="windowText" lastClr="000000"/>
              </a:solidFill>
              <a:latin typeface="Calibri"/>
              <a:ea typeface="+mn-ea"/>
              <a:cs typeface="+mn-cs"/>
            </a:rPr>
            <a:t>Natural Resource Planning &amp; Management</a:t>
          </a:r>
        </a:p>
      </dgm:t>
    </dgm:pt>
    <dgm:pt modelId="{477FB604-ED5E-48C6-A85C-17EF2ED5303D}" type="parTrans" cxnId="{62015EB3-B175-4D8F-9383-8066B686D7DF}">
      <dgm:prSet/>
      <dgm:spPr/>
      <dgm:t>
        <a:bodyPr/>
        <a:lstStyle/>
        <a:p>
          <a:endParaRPr lang="en-US"/>
        </a:p>
      </dgm:t>
    </dgm:pt>
    <dgm:pt modelId="{3844386E-2E7C-4AA4-A3F2-A088C2CF841E}" type="sibTrans" cxnId="{62015EB3-B175-4D8F-9383-8066B686D7DF}">
      <dgm:prSet/>
      <dgm:spPr/>
      <dgm:t>
        <a:bodyPr/>
        <a:lstStyle/>
        <a:p>
          <a:endParaRPr lang="en-US"/>
        </a:p>
      </dgm:t>
    </dgm:pt>
    <dgm:pt modelId="{81FB1A21-38EB-453E-BDD3-2EC5CF3B3B86}">
      <dgm:prSet phldrT="[Text]" custT="1"/>
      <dgm:spPr>
        <a:xfrm>
          <a:off x="2500312" y="3620"/>
          <a:ext cx="1095374" cy="438150"/>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en-US" sz="950">
              <a:solidFill>
                <a:sysClr val="windowText" lastClr="000000"/>
              </a:solidFill>
              <a:latin typeface="Calibri"/>
              <a:ea typeface="+mn-ea"/>
              <a:cs typeface="+mn-cs"/>
            </a:rPr>
            <a:t>Regulatory &amp; Administrative Rule Actions</a:t>
          </a:r>
        </a:p>
      </dgm:t>
    </dgm:pt>
    <dgm:pt modelId="{E4C57D85-C3AB-4BF8-BB51-B35CCB0F9F8B}" type="parTrans" cxnId="{C5EBD4C3-1376-48FB-97CF-49B2E9BE8D4A}">
      <dgm:prSet/>
      <dgm:spPr/>
      <dgm:t>
        <a:bodyPr/>
        <a:lstStyle/>
        <a:p>
          <a:endParaRPr lang="en-US"/>
        </a:p>
      </dgm:t>
    </dgm:pt>
    <dgm:pt modelId="{B28AC4B5-C18F-4C61-A404-67135FDCA0F6}" type="sibTrans" cxnId="{C5EBD4C3-1376-48FB-97CF-49B2E9BE8D4A}">
      <dgm:prSet/>
      <dgm:spPr/>
      <dgm:t>
        <a:bodyPr/>
        <a:lstStyle/>
        <a:p>
          <a:endParaRPr lang="en-US"/>
        </a:p>
      </dgm:t>
    </dgm:pt>
    <dgm:pt modelId="{2AC15E74-5AC3-499D-8303-AFE867A8232F}">
      <dgm:prSet phldrT="[Text]" custT="1"/>
      <dgm:spPr>
        <a:xfrm>
          <a:off x="3749040" y="3620"/>
          <a:ext cx="1095374" cy="438150"/>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en-US" sz="950">
              <a:solidFill>
                <a:sysClr val="windowText" lastClr="000000">
                  <a:hueOff val="0"/>
                  <a:satOff val="0"/>
                  <a:lumOff val="0"/>
                  <a:alphaOff val="0"/>
                </a:sysClr>
              </a:solidFill>
              <a:latin typeface="Calibri"/>
              <a:ea typeface="+mn-ea"/>
              <a:cs typeface="+mn-cs"/>
            </a:rPr>
            <a:t>Consultation &amp; Coordination</a:t>
          </a:r>
        </a:p>
      </dgm:t>
    </dgm:pt>
    <dgm:pt modelId="{E700E6CB-9D27-4357-9B26-DDD1F1A8D769}" type="parTrans" cxnId="{9E8059B9-BAC8-406C-871B-46921E0AC469}">
      <dgm:prSet/>
      <dgm:spPr/>
      <dgm:t>
        <a:bodyPr/>
        <a:lstStyle/>
        <a:p>
          <a:endParaRPr lang="en-US"/>
        </a:p>
      </dgm:t>
    </dgm:pt>
    <dgm:pt modelId="{3BBAA639-2886-4F40-BFDB-091F71F8F229}" type="sibTrans" cxnId="{9E8059B9-BAC8-406C-871B-46921E0AC469}">
      <dgm:prSet/>
      <dgm:spPr/>
      <dgm:t>
        <a:bodyPr/>
        <a:lstStyle/>
        <a:p>
          <a:endParaRPr lang="en-US"/>
        </a:p>
      </dgm:t>
    </dgm:pt>
    <dgm:pt modelId="{683D5744-E429-4C63-AD54-FC5B96A48B0A}">
      <dgm:prSet phldrT="[Text]" custT="1"/>
      <dgm:spPr>
        <a:xfrm>
          <a:off x="4997767" y="3620"/>
          <a:ext cx="1095374" cy="438150"/>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en-US" sz="950">
              <a:solidFill>
                <a:sysClr val="windowText" lastClr="000000"/>
              </a:solidFill>
              <a:latin typeface="Calibri"/>
              <a:ea typeface="+mn-ea"/>
              <a:cs typeface="+mn-cs"/>
            </a:rPr>
            <a:t>Broad Environmental &amp; Social Issues</a:t>
          </a:r>
        </a:p>
      </dgm:t>
    </dgm:pt>
    <dgm:pt modelId="{585A1670-C92F-40DD-AC85-79A3DA616F1A}" type="parTrans" cxnId="{81CF5774-4917-444E-A47C-3D9ADFD2D077}">
      <dgm:prSet/>
      <dgm:spPr/>
      <dgm:t>
        <a:bodyPr/>
        <a:lstStyle/>
        <a:p>
          <a:endParaRPr lang="en-US"/>
        </a:p>
      </dgm:t>
    </dgm:pt>
    <dgm:pt modelId="{7934CFE2-BDFC-4C24-9C17-F786AAA18DF7}" type="sibTrans" cxnId="{81CF5774-4917-444E-A47C-3D9ADFD2D077}">
      <dgm:prSet/>
      <dgm:spPr/>
      <dgm:t>
        <a:bodyPr/>
        <a:lstStyle/>
        <a:p>
          <a:endParaRPr lang="en-US"/>
        </a:p>
      </dgm:t>
    </dgm:pt>
    <dgm:pt modelId="{16EF52E5-1770-4F21-9AF0-BD8E99720665}">
      <dgm:prSet phldrT="[Text]" custT="1"/>
      <dgm:spPr>
        <a:xfrm>
          <a:off x="2857"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National Environmental Policy Act (NEPA)</a:t>
          </a:r>
        </a:p>
      </dgm:t>
    </dgm:pt>
    <dgm:pt modelId="{646BF5AB-F13E-46F3-A597-483C04DCBF2D}" type="parTrans" cxnId="{A975A302-8BA7-460E-A480-46052BFED6B2}">
      <dgm:prSet/>
      <dgm:spPr/>
      <dgm:t>
        <a:bodyPr/>
        <a:lstStyle/>
        <a:p>
          <a:endParaRPr lang="en-US"/>
        </a:p>
      </dgm:t>
    </dgm:pt>
    <dgm:pt modelId="{7D1B7CB0-FD3D-401B-8945-E9DF6AD51550}" type="sibTrans" cxnId="{A975A302-8BA7-460E-A480-46052BFED6B2}">
      <dgm:prSet/>
      <dgm:spPr/>
      <dgm:t>
        <a:bodyPr/>
        <a:lstStyle/>
        <a:p>
          <a:endParaRPr lang="en-US"/>
        </a:p>
      </dgm:t>
    </dgm:pt>
    <dgm:pt modelId="{A819F5FD-F3AD-4526-9C9D-6A3974FED388}">
      <dgm:prSet phldrT="[Text]" custT="1"/>
      <dgm:spPr>
        <a:xfrm>
          <a:off x="2857"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Endangered Species Act (ESA)</a:t>
          </a:r>
        </a:p>
      </dgm:t>
    </dgm:pt>
    <dgm:pt modelId="{9FEBD075-6EA0-4A88-BBEF-4F3F1FBB1448}" type="parTrans" cxnId="{1A8DBAEF-EDD6-4147-893E-F07400056097}">
      <dgm:prSet/>
      <dgm:spPr/>
      <dgm:t>
        <a:bodyPr/>
        <a:lstStyle/>
        <a:p>
          <a:endParaRPr lang="en-US"/>
        </a:p>
      </dgm:t>
    </dgm:pt>
    <dgm:pt modelId="{6B675FC3-1443-4949-8A85-C647DDDFE57B}" type="sibTrans" cxnId="{1A8DBAEF-EDD6-4147-893E-F07400056097}">
      <dgm:prSet/>
      <dgm:spPr/>
      <dgm:t>
        <a:bodyPr/>
        <a:lstStyle/>
        <a:p>
          <a:endParaRPr lang="en-US"/>
        </a:p>
      </dgm:t>
    </dgm:pt>
    <dgm:pt modelId="{DBFCAF0E-E37C-4318-8AFA-813E32F7EBC6}">
      <dgm:prSet phldrT="[Text]" custT="1"/>
      <dgm:spPr>
        <a:xfrm>
          <a:off x="2857"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Clean Water Act (CWA)</a:t>
          </a:r>
        </a:p>
      </dgm:t>
    </dgm:pt>
    <dgm:pt modelId="{6B03773F-2A44-48A9-BFF8-E45CED84AA3E}" type="parTrans" cxnId="{9E08A0F1-08A5-46F6-9334-7438F4673F3B}">
      <dgm:prSet/>
      <dgm:spPr/>
      <dgm:t>
        <a:bodyPr/>
        <a:lstStyle/>
        <a:p>
          <a:endParaRPr lang="en-US"/>
        </a:p>
      </dgm:t>
    </dgm:pt>
    <dgm:pt modelId="{9DA83C3F-D47B-4E4B-84E2-C149C4A2BB52}" type="sibTrans" cxnId="{9E08A0F1-08A5-46F6-9334-7438F4673F3B}">
      <dgm:prSet/>
      <dgm:spPr/>
      <dgm:t>
        <a:bodyPr/>
        <a:lstStyle/>
        <a:p>
          <a:endParaRPr lang="en-US"/>
        </a:p>
      </dgm:t>
    </dgm:pt>
    <dgm:pt modelId="{EA9DAF3B-D566-4121-927F-1AACDD05FA1F}">
      <dgm:prSet phldrT="[Text]" custT="1"/>
      <dgm:spPr>
        <a:xfrm>
          <a:off x="2857"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National Historic Preservation Act (NHPA)</a:t>
          </a:r>
        </a:p>
      </dgm:t>
    </dgm:pt>
    <dgm:pt modelId="{9CF059B4-711E-4EC8-9F22-1FF9666CFDDE}" type="parTrans" cxnId="{353388E0-8BA1-411B-A6EF-CD5811E4DCED}">
      <dgm:prSet/>
      <dgm:spPr/>
      <dgm:t>
        <a:bodyPr/>
        <a:lstStyle/>
        <a:p>
          <a:endParaRPr lang="en-US"/>
        </a:p>
      </dgm:t>
    </dgm:pt>
    <dgm:pt modelId="{05DDB53C-00D9-47A1-A985-B14E81E45C37}" type="sibTrans" cxnId="{353388E0-8BA1-411B-A6EF-CD5811E4DCED}">
      <dgm:prSet/>
      <dgm:spPr/>
      <dgm:t>
        <a:bodyPr/>
        <a:lstStyle/>
        <a:p>
          <a:endParaRPr lang="en-US"/>
        </a:p>
      </dgm:t>
    </dgm:pt>
    <dgm:pt modelId="{3ECB0ED7-563F-499C-A1BB-22AAF27E3356}">
      <dgm:prSet phldrT="[Text]" custT="1"/>
      <dgm:spPr>
        <a:xfrm>
          <a:off x="2857"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solidFill>
              <a:latin typeface="Calibri"/>
              <a:ea typeface="+mn-ea"/>
              <a:cs typeface="+mn-cs"/>
            </a:rPr>
            <a:t>Comprehensive Environmental Response, Compensation, and Liability Act (CERCLA)</a:t>
          </a:r>
        </a:p>
      </dgm:t>
    </dgm:pt>
    <dgm:pt modelId="{F10F20C5-2162-47B6-B0EC-9739AA653BDB}" type="parTrans" cxnId="{DC61F4DE-E1C5-4C4C-9C30-A75B15A8A3BE}">
      <dgm:prSet/>
      <dgm:spPr/>
      <dgm:t>
        <a:bodyPr/>
        <a:lstStyle/>
        <a:p>
          <a:endParaRPr lang="en-US"/>
        </a:p>
      </dgm:t>
    </dgm:pt>
    <dgm:pt modelId="{EC081230-3E9E-41D3-9ABE-884B5D4950E5}" type="sibTrans" cxnId="{DC61F4DE-E1C5-4C4C-9C30-A75B15A8A3BE}">
      <dgm:prSet/>
      <dgm:spPr/>
      <dgm:t>
        <a:bodyPr/>
        <a:lstStyle/>
        <a:p>
          <a:endParaRPr lang="en-US"/>
        </a:p>
      </dgm:t>
    </dgm:pt>
    <dgm:pt modelId="{EC4EF397-40B4-40FB-B65D-432907CD74D4}">
      <dgm:prSet phldrT="[Text]" custT="1"/>
      <dgm:spPr>
        <a:xfrm>
          <a:off x="1251585"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solidFill>
              <a:latin typeface="Calibri"/>
              <a:ea typeface="+mn-ea"/>
              <a:cs typeface="+mn-cs"/>
            </a:rPr>
            <a:t>Forest Planning</a:t>
          </a:r>
        </a:p>
      </dgm:t>
    </dgm:pt>
    <dgm:pt modelId="{8D88EF11-A4AD-4BE1-B7EE-8436EF44C6F6}" type="parTrans" cxnId="{DBC2683F-33DA-41FC-B879-0E68915EE682}">
      <dgm:prSet/>
      <dgm:spPr/>
      <dgm:t>
        <a:bodyPr/>
        <a:lstStyle/>
        <a:p>
          <a:endParaRPr lang="en-US"/>
        </a:p>
      </dgm:t>
    </dgm:pt>
    <dgm:pt modelId="{7F46947D-52AD-48F4-B792-45212F19C51C}" type="sibTrans" cxnId="{DBC2683F-33DA-41FC-B879-0E68915EE682}">
      <dgm:prSet/>
      <dgm:spPr/>
      <dgm:t>
        <a:bodyPr/>
        <a:lstStyle/>
        <a:p>
          <a:endParaRPr lang="en-US"/>
        </a:p>
      </dgm:t>
    </dgm:pt>
    <dgm:pt modelId="{A9BEAA74-6E30-47FA-B5CE-EC9A7C6C8137}">
      <dgm:prSet phldrT="[Text]" custT="1"/>
      <dgm:spPr>
        <a:xfrm>
          <a:off x="1251585"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solidFill>
              <a:latin typeface="Calibri"/>
              <a:ea typeface="+mn-ea"/>
              <a:cs typeface="+mn-cs"/>
            </a:rPr>
            <a:t>Large Landscape Conservation and Collaboration</a:t>
          </a:r>
        </a:p>
      </dgm:t>
    </dgm:pt>
    <dgm:pt modelId="{DF5985AC-ADA3-4D8C-A32E-CF777D461186}" type="parTrans" cxnId="{C14A5496-0E32-4FA2-A6A7-E38FFE909A7F}">
      <dgm:prSet/>
      <dgm:spPr/>
      <dgm:t>
        <a:bodyPr/>
        <a:lstStyle/>
        <a:p>
          <a:endParaRPr lang="en-US"/>
        </a:p>
      </dgm:t>
    </dgm:pt>
    <dgm:pt modelId="{C2FC5450-F2AC-4A58-83EB-E7DF63B5BE02}" type="sibTrans" cxnId="{C14A5496-0E32-4FA2-A6A7-E38FFE909A7F}">
      <dgm:prSet/>
      <dgm:spPr/>
      <dgm:t>
        <a:bodyPr/>
        <a:lstStyle/>
        <a:p>
          <a:endParaRPr lang="en-US"/>
        </a:p>
      </dgm:t>
    </dgm:pt>
    <dgm:pt modelId="{5560FAAF-C116-4C2E-BDEE-77B05332F451}">
      <dgm:prSet phldrT="[Text]" custT="1"/>
      <dgm:spPr>
        <a:xfrm>
          <a:off x="1251585"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solidFill>
              <a:latin typeface="Calibri"/>
              <a:ea typeface="+mn-ea"/>
              <a:cs typeface="+mn-cs"/>
            </a:rPr>
            <a:t>Regional Infrastructure Development</a:t>
          </a:r>
        </a:p>
      </dgm:t>
    </dgm:pt>
    <dgm:pt modelId="{EE2C9B45-D86E-4005-AD26-FB98E7DE1AD4}" type="parTrans" cxnId="{7A16BA86-D0D7-4BB6-BF16-D8459CF79DFC}">
      <dgm:prSet/>
      <dgm:spPr/>
      <dgm:t>
        <a:bodyPr/>
        <a:lstStyle/>
        <a:p>
          <a:endParaRPr lang="en-US"/>
        </a:p>
      </dgm:t>
    </dgm:pt>
    <dgm:pt modelId="{698C6E6C-228F-4C28-9F0B-5FF138B8C09B}" type="sibTrans" cxnId="{7A16BA86-D0D7-4BB6-BF16-D8459CF79DFC}">
      <dgm:prSet/>
      <dgm:spPr/>
      <dgm:t>
        <a:bodyPr/>
        <a:lstStyle/>
        <a:p>
          <a:endParaRPr lang="en-US"/>
        </a:p>
      </dgm:t>
    </dgm:pt>
    <dgm:pt modelId="{D6502931-8774-45D2-BD87-0F9AE507BA52}">
      <dgm:prSet phldrT="[Text]" custT="1"/>
      <dgm:spPr>
        <a:xfrm>
          <a:off x="1251585"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i="0">
              <a:solidFill>
                <a:sysClr val="windowText" lastClr="000000"/>
              </a:solidFill>
              <a:latin typeface="Calibri"/>
              <a:ea typeface="+mn-ea"/>
              <a:cs typeface="+mn-cs"/>
            </a:rPr>
            <a:t>Water Resources (e.g., storm water, groundwater permitting; water releases, quality, and security; flood risk assessment and recovery)</a:t>
          </a:r>
        </a:p>
      </dgm:t>
    </dgm:pt>
    <dgm:pt modelId="{19B315A2-9DBE-4CFA-9A90-A1F12B09ED3E}" type="parTrans" cxnId="{19E967BD-4BE1-4EBC-9D57-876A45805506}">
      <dgm:prSet/>
      <dgm:spPr/>
      <dgm:t>
        <a:bodyPr/>
        <a:lstStyle/>
        <a:p>
          <a:endParaRPr lang="en-US"/>
        </a:p>
      </dgm:t>
    </dgm:pt>
    <dgm:pt modelId="{E8D653AD-223D-47C2-9C1F-0E7194EC3898}" type="sibTrans" cxnId="{19E967BD-4BE1-4EBC-9D57-876A45805506}">
      <dgm:prSet/>
      <dgm:spPr/>
      <dgm:t>
        <a:bodyPr/>
        <a:lstStyle/>
        <a:p>
          <a:endParaRPr lang="en-US"/>
        </a:p>
      </dgm:t>
    </dgm:pt>
    <dgm:pt modelId="{129ED639-1596-454D-96C8-0B8AC713AC01}">
      <dgm:prSet phldrT="[Text]" custT="1"/>
      <dgm:spPr>
        <a:xfrm>
          <a:off x="2500312"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Energy Development and Transmission, including Renewable Energy; Offshore Development</a:t>
          </a:r>
        </a:p>
      </dgm:t>
    </dgm:pt>
    <dgm:pt modelId="{43A3D201-8531-4894-99D9-EEEF901C232B}" type="parTrans" cxnId="{AB41509C-FBA1-48B1-A9B5-17B511FCD495}">
      <dgm:prSet/>
      <dgm:spPr/>
      <dgm:t>
        <a:bodyPr/>
        <a:lstStyle/>
        <a:p>
          <a:endParaRPr lang="en-US"/>
        </a:p>
      </dgm:t>
    </dgm:pt>
    <dgm:pt modelId="{AF77C473-8CE5-45BB-8612-D7130D6FC0FA}" type="sibTrans" cxnId="{AB41509C-FBA1-48B1-A9B5-17B511FCD495}">
      <dgm:prSet/>
      <dgm:spPr/>
      <dgm:t>
        <a:bodyPr/>
        <a:lstStyle/>
        <a:p>
          <a:endParaRPr lang="en-US"/>
        </a:p>
      </dgm:t>
    </dgm:pt>
    <dgm:pt modelId="{833AC925-0FF2-4564-9279-9F3FA1AA4452}">
      <dgm:prSet phldrT="[Text]" custT="1"/>
      <dgm:spPr>
        <a:xfrm>
          <a:off x="2500312"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Negotiated Rulemaking</a:t>
          </a:r>
        </a:p>
      </dgm:t>
    </dgm:pt>
    <dgm:pt modelId="{57C12020-D88B-46DF-9012-DE8DC9F7F785}" type="parTrans" cxnId="{2741D3D9-FC3A-4E4B-A0BF-85995D4FE40F}">
      <dgm:prSet/>
      <dgm:spPr/>
      <dgm:t>
        <a:bodyPr/>
        <a:lstStyle/>
        <a:p>
          <a:endParaRPr lang="en-US"/>
        </a:p>
      </dgm:t>
    </dgm:pt>
    <dgm:pt modelId="{7753CC68-1F83-46DE-9C12-CC66AA205875}" type="sibTrans" cxnId="{2741D3D9-FC3A-4E4B-A0BF-85995D4FE40F}">
      <dgm:prSet/>
      <dgm:spPr/>
      <dgm:t>
        <a:bodyPr/>
        <a:lstStyle/>
        <a:p>
          <a:endParaRPr lang="en-US"/>
        </a:p>
      </dgm:t>
    </dgm:pt>
    <dgm:pt modelId="{D10B2F4B-E8C7-4EED-8643-2CA12541C898}">
      <dgm:prSet phldrT="[Text]" custT="1"/>
      <dgm:spPr>
        <a:xfrm>
          <a:off x="2500312"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Compliance and Enforcement Actions</a:t>
          </a:r>
        </a:p>
      </dgm:t>
    </dgm:pt>
    <dgm:pt modelId="{FF5413BE-7BA9-4C83-A667-81F6939D255C}" type="parTrans" cxnId="{D2199784-5E55-4523-9FD6-14AAACBECA46}">
      <dgm:prSet/>
      <dgm:spPr/>
      <dgm:t>
        <a:bodyPr/>
        <a:lstStyle/>
        <a:p>
          <a:endParaRPr lang="en-US"/>
        </a:p>
      </dgm:t>
    </dgm:pt>
    <dgm:pt modelId="{EF83B96F-EF57-4345-A298-5632F11A1A2C}" type="sibTrans" cxnId="{D2199784-5E55-4523-9FD6-14AAACBECA46}">
      <dgm:prSet/>
      <dgm:spPr/>
      <dgm:t>
        <a:bodyPr/>
        <a:lstStyle/>
        <a:p>
          <a:endParaRPr lang="en-US"/>
        </a:p>
      </dgm:t>
    </dgm:pt>
    <dgm:pt modelId="{7BFF917E-E799-4090-9AAA-7EEAF9DD0A0F}">
      <dgm:prSet phldrT="[Text]" custT="1"/>
      <dgm:spPr>
        <a:xfrm>
          <a:off x="3749040"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Tribal Consultation</a:t>
          </a:r>
        </a:p>
      </dgm:t>
    </dgm:pt>
    <dgm:pt modelId="{5ECBC942-0B49-487F-88DE-689E43118872}" type="parTrans" cxnId="{438C7D49-4974-46BE-ADB2-C12535440FAE}">
      <dgm:prSet/>
      <dgm:spPr/>
      <dgm:t>
        <a:bodyPr/>
        <a:lstStyle/>
        <a:p>
          <a:endParaRPr lang="en-US"/>
        </a:p>
      </dgm:t>
    </dgm:pt>
    <dgm:pt modelId="{421BBBD7-0439-449C-BF25-B67D21230D0C}" type="sibTrans" cxnId="{438C7D49-4974-46BE-ADB2-C12535440FAE}">
      <dgm:prSet/>
      <dgm:spPr/>
      <dgm:t>
        <a:bodyPr/>
        <a:lstStyle/>
        <a:p>
          <a:endParaRPr lang="en-US"/>
        </a:p>
      </dgm:t>
    </dgm:pt>
    <dgm:pt modelId="{D2B8C4F4-2BE7-4937-AAF2-DBCF57446794}">
      <dgm:prSet phldrT="[Text]" custT="1"/>
      <dgm:spPr>
        <a:xfrm>
          <a:off x="3749040"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Joint Fact-Finding in Planning and Development</a:t>
          </a:r>
        </a:p>
      </dgm:t>
    </dgm:pt>
    <dgm:pt modelId="{80D1A302-2940-48BD-BBB0-7D468D75E980}" type="parTrans" cxnId="{07A9E219-359D-483F-BCAE-420222D82D88}">
      <dgm:prSet/>
      <dgm:spPr/>
      <dgm:t>
        <a:bodyPr/>
        <a:lstStyle/>
        <a:p>
          <a:endParaRPr lang="en-US"/>
        </a:p>
      </dgm:t>
    </dgm:pt>
    <dgm:pt modelId="{5C4D8E53-4CCC-47E2-8DE5-E6B703E99C7E}" type="sibTrans" cxnId="{07A9E219-359D-483F-BCAE-420222D82D88}">
      <dgm:prSet/>
      <dgm:spPr/>
      <dgm:t>
        <a:bodyPr/>
        <a:lstStyle/>
        <a:p>
          <a:endParaRPr lang="en-US"/>
        </a:p>
      </dgm:t>
    </dgm:pt>
    <dgm:pt modelId="{B37CE4EF-51A6-4040-A13B-0FC354A62636}">
      <dgm:prSet phldrT="[Text]" custT="1"/>
      <dgm:spPr>
        <a:xfrm>
          <a:off x="3749040"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Multi-Agency, Multi-Scope Issues</a:t>
          </a:r>
        </a:p>
      </dgm:t>
    </dgm:pt>
    <dgm:pt modelId="{8835A4D7-F159-4A56-BE67-7203300B6C6E}" type="parTrans" cxnId="{5AE6630A-DE67-45AC-BBA5-1F927B2D5501}">
      <dgm:prSet/>
      <dgm:spPr/>
      <dgm:t>
        <a:bodyPr/>
        <a:lstStyle/>
        <a:p>
          <a:endParaRPr lang="en-US"/>
        </a:p>
      </dgm:t>
    </dgm:pt>
    <dgm:pt modelId="{F91F2111-6A64-4D03-9251-A115329F047D}" type="sibTrans" cxnId="{5AE6630A-DE67-45AC-BBA5-1F927B2D5501}">
      <dgm:prSet/>
      <dgm:spPr/>
      <dgm:t>
        <a:bodyPr/>
        <a:lstStyle/>
        <a:p>
          <a:endParaRPr lang="en-US"/>
        </a:p>
      </dgm:t>
    </dgm:pt>
    <dgm:pt modelId="{D449D9D1-7D0E-4478-997A-95B0F3902B9B}">
      <dgm:prSet phldrT="[Text]" custT="1"/>
      <dgm:spPr>
        <a:xfrm>
          <a:off x="4997767"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Environmental Justice</a:t>
          </a:r>
        </a:p>
      </dgm:t>
    </dgm:pt>
    <dgm:pt modelId="{6D22D3AF-7998-4F19-AC4C-2225DC56DB43}" type="parTrans" cxnId="{F3C842C3-1AAF-486E-BB92-A7E703CCFB6E}">
      <dgm:prSet/>
      <dgm:spPr/>
      <dgm:t>
        <a:bodyPr/>
        <a:lstStyle/>
        <a:p>
          <a:endParaRPr lang="en-US"/>
        </a:p>
      </dgm:t>
    </dgm:pt>
    <dgm:pt modelId="{F5866AE8-AD47-4E33-AF23-44CDAF369212}" type="sibTrans" cxnId="{F3C842C3-1AAF-486E-BB92-A7E703CCFB6E}">
      <dgm:prSet/>
      <dgm:spPr/>
      <dgm:t>
        <a:bodyPr/>
        <a:lstStyle/>
        <a:p>
          <a:endParaRPr lang="en-US"/>
        </a:p>
      </dgm:t>
    </dgm:pt>
    <dgm:pt modelId="{423666B4-62A9-4B87-9A4C-93E49E605957}">
      <dgm:prSet phldrT="[Text]" custT="1"/>
      <dgm:spPr>
        <a:xfrm>
          <a:off x="4997767"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Climate Change</a:t>
          </a:r>
        </a:p>
      </dgm:t>
    </dgm:pt>
    <dgm:pt modelId="{868E1A38-4043-496B-AE78-6B516105CF74}" type="parTrans" cxnId="{B4AEE87C-4B0F-4A1E-8C55-FFFA8E36D8C0}">
      <dgm:prSet/>
      <dgm:spPr/>
      <dgm:t>
        <a:bodyPr/>
        <a:lstStyle/>
        <a:p>
          <a:endParaRPr lang="en-US"/>
        </a:p>
      </dgm:t>
    </dgm:pt>
    <dgm:pt modelId="{168F27D7-88D8-4B2B-8DFF-1456E35ADC41}" type="sibTrans" cxnId="{B4AEE87C-4B0F-4A1E-8C55-FFFA8E36D8C0}">
      <dgm:prSet/>
      <dgm:spPr/>
      <dgm:t>
        <a:bodyPr/>
        <a:lstStyle/>
        <a:p>
          <a:endParaRPr lang="en-US"/>
        </a:p>
      </dgm:t>
    </dgm:pt>
    <dgm:pt modelId="{6BC5FFC5-74EB-4E53-B296-314794B7C50C}">
      <dgm:prSet phldrT="[Text]" custT="1"/>
      <dgm:spPr>
        <a:xfrm>
          <a:off x="4997767"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Water Security</a:t>
          </a:r>
        </a:p>
      </dgm:t>
    </dgm:pt>
    <dgm:pt modelId="{E6831CFB-7228-40A1-942D-8E511D31AEE6}" type="parTrans" cxnId="{3E00E985-BDE1-411A-9946-896A2D173A79}">
      <dgm:prSet/>
      <dgm:spPr/>
      <dgm:t>
        <a:bodyPr/>
        <a:lstStyle/>
        <a:p>
          <a:endParaRPr lang="en-US"/>
        </a:p>
      </dgm:t>
    </dgm:pt>
    <dgm:pt modelId="{7F65CE52-9D9F-4480-A885-5986E56C8D5D}" type="sibTrans" cxnId="{3E00E985-BDE1-411A-9946-896A2D173A79}">
      <dgm:prSet/>
      <dgm:spPr/>
      <dgm:t>
        <a:bodyPr/>
        <a:lstStyle/>
        <a:p>
          <a:endParaRPr lang="en-US"/>
        </a:p>
      </dgm:t>
    </dgm:pt>
    <dgm:pt modelId="{1B0C548C-EEF4-40C8-B4FC-67FDC5A86917}">
      <dgm:prSet phldrT="[Text]" custT="1"/>
      <dgm:spPr>
        <a:xfrm>
          <a:off x="3749040"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Multi-Agency Programmatic Agreements</a:t>
          </a:r>
        </a:p>
      </dgm:t>
    </dgm:pt>
    <dgm:pt modelId="{0B65EA6C-E1A7-44D0-BCD5-84FDCF69173C}" type="parTrans" cxnId="{10DD8E94-F642-4183-A256-0EC930A5962F}">
      <dgm:prSet/>
      <dgm:spPr/>
      <dgm:t>
        <a:bodyPr/>
        <a:lstStyle/>
        <a:p>
          <a:endParaRPr lang="en-US"/>
        </a:p>
      </dgm:t>
    </dgm:pt>
    <dgm:pt modelId="{629730B1-C47C-43C0-BC96-31D25BCE9CAF}" type="sibTrans" cxnId="{10DD8E94-F642-4183-A256-0EC930A5962F}">
      <dgm:prSet/>
      <dgm:spPr/>
      <dgm:t>
        <a:bodyPr/>
        <a:lstStyle/>
        <a:p>
          <a:endParaRPr lang="en-US"/>
        </a:p>
      </dgm:t>
    </dgm:pt>
    <dgm:pt modelId="{63EFAF6E-0BFD-4274-8DE4-B8E0A4644F56}">
      <dgm:prSet phldrT="[Text]" custT="1"/>
      <dgm:spPr>
        <a:xfrm>
          <a:off x="4997767"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Energy Development</a:t>
          </a:r>
        </a:p>
      </dgm:t>
    </dgm:pt>
    <dgm:pt modelId="{EA4CA7F9-5774-48A3-AC99-68310C7DD762}" type="parTrans" cxnId="{BD0F3932-BA44-48F4-AADB-C6E577746A15}">
      <dgm:prSet/>
      <dgm:spPr/>
      <dgm:t>
        <a:bodyPr/>
        <a:lstStyle/>
        <a:p>
          <a:endParaRPr lang="en-US"/>
        </a:p>
      </dgm:t>
    </dgm:pt>
    <dgm:pt modelId="{E5A09FC0-9B83-4E13-9484-473DE83854AE}" type="sibTrans" cxnId="{BD0F3932-BA44-48F4-AADB-C6E577746A15}">
      <dgm:prSet/>
      <dgm:spPr/>
      <dgm:t>
        <a:bodyPr/>
        <a:lstStyle/>
        <a:p>
          <a:endParaRPr lang="en-US"/>
        </a:p>
      </dgm:t>
    </dgm:pt>
    <dgm:pt modelId="{258EB567-AE41-4930-B69F-05F7861450C8}">
      <dgm:prSet phldrT="[Text]" custT="1"/>
      <dgm:spPr>
        <a:xfrm>
          <a:off x="3749040"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Stakeholder &amp; Community Engagement</a:t>
          </a:r>
        </a:p>
      </dgm:t>
    </dgm:pt>
    <dgm:pt modelId="{0F9BCF66-270A-414C-B1BA-B2AC57D5BF4D}" type="parTrans" cxnId="{1F11B8B2-AA8D-4F08-9D95-5EBE9EC922C4}">
      <dgm:prSet/>
      <dgm:spPr/>
      <dgm:t>
        <a:bodyPr/>
        <a:lstStyle/>
        <a:p>
          <a:endParaRPr lang="en-US"/>
        </a:p>
      </dgm:t>
    </dgm:pt>
    <dgm:pt modelId="{A527AF39-C54D-4704-9785-7ED2D7062DBB}" type="sibTrans" cxnId="{1F11B8B2-AA8D-4F08-9D95-5EBE9EC922C4}">
      <dgm:prSet/>
      <dgm:spPr/>
      <dgm:t>
        <a:bodyPr/>
        <a:lstStyle/>
        <a:p>
          <a:endParaRPr lang="en-US"/>
        </a:p>
      </dgm:t>
    </dgm:pt>
    <dgm:pt modelId="{4BC40D05-3979-435F-8B04-A54235855001}">
      <dgm:prSet phldrT="[Text]" custT="1"/>
      <dgm:spPr>
        <a:xfrm>
          <a:off x="2500312"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Permitting Review</a:t>
          </a:r>
        </a:p>
      </dgm:t>
    </dgm:pt>
    <dgm:pt modelId="{0FA94400-2A74-41A3-8BD2-E916F1AC7EB4}" type="parTrans" cxnId="{A03D0875-063B-4A85-B9B1-5089E02EEC3A}">
      <dgm:prSet/>
      <dgm:spPr/>
      <dgm:t>
        <a:bodyPr/>
        <a:lstStyle/>
        <a:p>
          <a:endParaRPr lang="en-US"/>
        </a:p>
      </dgm:t>
    </dgm:pt>
    <dgm:pt modelId="{BE29EDDA-CEA3-41D4-BC42-75B7E2A6DD19}" type="sibTrans" cxnId="{A03D0875-063B-4A85-B9B1-5089E02EEC3A}">
      <dgm:prSet/>
      <dgm:spPr/>
      <dgm:t>
        <a:bodyPr/>
        <a:lstStyle/>
        <a:p>
          <a:endParaRPr lang="en-US"/>
        </a:p>
      </dgm:t>
    </dgm:pt>
    <dgm:pt modelId="{F263B5CE-E6C2-470B-80DC-452E7F5882EF}">
      <dgm:prSet phldrT="[Text]" custT="1"/>
      <dgm:spPr>
        <a:xfrm>
          <a:off x="2857"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endParaRPr lang="en-US" sz="900">
            <a:solidFill>
              <a:sysClr val="windowText" lastClr="000000">
                <a:hueOff val="0"/>
                <a:satOff val="0"/>
                <a:lumOff val="0"/>
                <a:alphaOff val="0"/>
              </a:sysClr>
            </a:solidFill>
            <a:latin typeface="Calibri"/>
            <a:ea typeface="+mn-ea"/>
            <a:cs typeface="+mn-cs"/>
          </a:endParaRPr>
        </a:p>
      </dgm:t>
    </dgm:pt>
    <dgm:pt modelId="{0776F946-6AAE-4D5F-9263-C27543414699}" type="parTrans" cxnId="{F5F3EBF7-14F2-4C29-BA44-A9C9212C2286}">
      <dgm:prSet/>
      <dgm:spPr/>
      <dgm:t>
        <a:bodyPr/>
        <a:lstStyle/>
        <a:p>
          <a:endParaRPr lang="en-US"/>
        </a:p>
      </dgm:t>
    </dgm:pt>
    <dgm:pt modelId="{6A53F460-1981-4B9C-922A-051C2810280E}" type="sibTrans" cxnId="{F5F3EBF7-14F2-4C29-BA44-A9C9212C2286}">
      <dgm:prSet/>
      <dgm:spPr/>
      <dgm:t>
        <a:bodyPr/>
        <a:lstStyle/>
        <a:p>
          <a:endParaRPr lang="en-US"/>
        </a:p>
      </dgm:t>
    </dgm:pt>
    <dgm:pt modelId="{6FC37B42-8474-4767-BA62-DBFC9FCB7FEB}">
      <dgm:prSet phldrT="[Text]" custT="1"/>
      <dgm:spPr>
        <a:xfrm>
          <a:off x="2857"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endParaRPr lang="en-US" sz="900">
            <a:solidFill>
              <a:sysClr val="windowText" lastClr="000000">
                <a:hueOff val="0"/>
                <a:satOff val="0"/>
                <a:lumOff val="0"/>
                <a:alphaOff val="0"/>
              </a:sysClr>
            </a:solidFill>
            <a:latin typeface="Calibri"/>
            <a:ea typeface="+mn-ea"/>
            <a:cs typeface="+mn-cs"/>
          </a:endParaRPr>
        </a:p>
      </dgm:t>
    </dgm:pt>
    <dgm:pt modelId="{D4EBF780-74C3-4D16-9736-D7281425F595}" type="parTrans" cxnId="{896B37D2-E659-4631-A825-24C707D9BF43}">
      <dgm:prSet/>
      <dgm:spPr/>
      <dgm:t>
        <a:bodyPr/>
        <a:lstStyle/>
        <a:p>
          <a:endParaRPr lang="en-US"/>
        </a:p>
      </dgm:t>
    </dgm:pt>
    <dgm:pt modelId="{4EA07F8A-38A8-4EE8-AD3D-3C44AB1CDD92}" type="sibTrans" cxnId="{896B37D2-E659-4631-A825-24C707D9BF43}">
      <dgm:prSet/>
      <dgm:spPr/>
      <dgm:t>
        <a:bodyPr/>
        <a:lstStyle/>
        <a:p>
          <a:endParaRPr lang="en-US"/>
        </a:p>
      </dgm:t>
    </dgm:pt>
    <dgm:pt modelId="{324496B1-DF4D-40C0-BC32-EC540CEA7D38}">
      <dgm:prSet phldrT="[Text]" custT="1"/>
      <dgm:spPr>
        <a:xfrm>
          <a:off x="2857"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endParaRPr lang="en-US" sz="900">
            <a:solidFill>
              <a:sysClr val="windowText" lastClr="000000">
                <a:hueOff val="0"/>
                <a:satOff val="0"/>
                <a:lumOff val="0"/>
                <a:alphaOff val="0"/>
              </a:sysClr>
            </a:solidFill>
            <a:latin typeface="Calibri"/>
            <a:ea typeface="+mn-ea"/>
            <a:cs typeface="+mn-cs"/>
          </a:endParaRPr>
        </a:p>
      </dgm:t>
    </dgm:pt>
    <dgm:pt modelId="{C73A6382-FC5D-4809-B0B8-42D09CC62ABA}" type="parTrans" cxnId="{BB87B567-4883-4659-8922-7277BBFD666F}">
      <dgm:prSet/>
      <dgm:spPr/>
      <dgm:t>
        <a:bodyPr/>
        <a:lstStyle/>
        <a:p>
          <a:endParaRPr lang="en-US"/>
        </a:p>
      </dgm:t>
    </dgm:pt>
    <dgm:pt modelId="{2FAD22BE-4C49-40B9-938E-B872E3B0DD06}" type="sibTrans" cxnId="{BB87B567-4883-4659-8922-7277BBFD666F}">
      <dgm:prSet/>
      <dgm:spPr/>
      <dgm:t>
        <a:bodyPr/>
        <a:lstStyle/>
        <a:p>
          <a:endParaRPr lang="en-US"/>
        </a:p>
      </dgm:t>
    </dgm:pt>
    <dgm:pt modelId="{70B454A0-7BF7-461C-8DBA-16DE6ABD0493}">
      <dgm:prSet phldrT="[Text]" custT="1"/>
      <dgm:spPr>
        <a:xfrm>
          <a:off x="2857"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endParaRPr lang="en-US" sz="900">
            <a:solidFill>
              <a:sysClr val="windowText" lastClr="000000">
                <a:hueOff val="0"/>
                <a:satOff val="0"/>
                <a:lumOff val="0"/>
                <a:alphaOff val="0"/>
              </a:sysClr>
            </a:solidFill>
            <a:latin typeface="Calibri"/>
            <a:ea typeface="+mn-ea"/>
            <a:cs typeface="+mn-cs"/>
          </a:endParaRPr>
        </a:p>
      </dgm:t>
    </dgm:pt>
    <dgm:pt modelId="{31EB14FD-363A-4E17-ACA4-7EC0C91233C1}" type="parTrans" cxnId="{4E73E5DA-1806-42F4-B759-0EA291D13FA8}">
      <dgm:prSet/>
      <dgm:spPr/>
      <dgm:t>
        <a:bodyPr/>
        <a:lstStyle/>
        <a:p>
          <a:endParaRPr lang="en-US"/>
        </a:p>
      </dgm:t>
    </dgm:pt>
    <dgm:pt modelId="{66AE01C7-851F-4C1A-9D84-6346C42D75D4}" type="sibTrans" cxnId="{4E73E5DA-1806-42F4-B759-0EA291D13FA8}">
      <dgm:prSet/>
      <dgm:spPr/>
      <dgm:t>
        <a:bodyPr/>
        <a:lstStyle/>
        <a:p>
          <a:endParaRPr lang="en-US"/>
        </a:p>
      </dgm:t>
    </dgm:pt>
    <dgm:pt modelId="{2301E58A-8F3B-49AC-9847-F2C37DCEBE1C}">
      <dgm:prSet phldrT="[Text]" custT="1"/>
      <dgm:spPr>
        <a:xfrm>
          <a:off x="3749040"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Public Involvement</a:t>
          </a:r>
        </a:p>
      </dgm:t>
    </dgm:pt>
    <dgm:pt modelId="{C76221EB-D2A3-4524-A159-2753CD439C24}" type="parTrans" cxnId="{827B20AB-CBEC-42B0-B513-08F2B1582185}">
      <dgm:prSet/>
      <dgm:spPr/>
      <dgm:t>
        <a:bodyPr/>
        <a:lstStyle/>
        <a:p>
          <a:endParaRPr lang="en-US"/>
        </a:p>
      </dgm:t>
    </dgm:pt>
    <dgm:pt modelId="{536C36C7-10B7-4260-8EB7-FB64029A898D}" type="sibTrans" cxnId="{827B20AB-CBEC-42B0-B513-08F2B1582185}">
      <dgm:prSet/>
      <dgm:spPr/>
      <dgm:t>
        <a:bodyPr/>
        <a:lstStyle/>
        <a:p>
          <a:endParaRPr lang="en-US"/>
        </a:p>
      </dgm:t>
    </dgm:pt>
    <dgm:pt modelId="{DA3ABB5C-5CA1-48AD-97BB-DF881B01620F}">
      <dgm:prSet phldrT="[Text]" custT="1"/>
      <dgm:spPr>
        <a:xfrm>
          <a:off x="2857"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Resource Conservation and Recovery Act (RCRA)</a:t>
          </a:r>
        </a:p>
      </dgm:t>
    </dgm:pt>
    <dgm:pt modelId="{9E41218C-38DD-44BF-B2F0-FF8CFCECD4A2}" type="parTrans" cxnId="{BD433E50-3035-4D77-84BB-6C65806120A9}">
      <dgm:prSet/>
      <dgm:spPr/>
      <dgm:t>
        <a:bodyPr/>
        <a:lstStyle/>
        <a:p>
          <a:endParaRPr lang="en-US"/>
        </a:p>
      </dgm:t>
    </dgm:pt>
    <dgm:pt modelId="{D89F75BD-D10D-452B-BB39-77726C681133}" type="sibTrans" cxnId="{BD433E50-3035-4D77-84BB-6C65806120A9}">
      <dgm:prSet/>
      <dgm:spPr/>
      <dgm:t>
        <a:bodyPr/>
        <a:lstStyle/>
        <a:p>
          <a:endParaRPr lang="en-US"/>
        </a:p>
      </dgm:t>
    </dgm:pt>
    <dgm:pt modelId="{B1F0F665-3CF1-49EF-A1F7-1EEFAF6D4918}">
      <dgm:prSet phldrT="[Text]" custT="1"/>
      <dgm:spPr>
        <a:xfrm>
          <a:off x="4997767" y="441770"/>
          <a:ext cx="1095374" cy="2283840"/>
        </a:xfr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a:ea typeface="+mn-ea"/>
              <a:cs typeface="+mn-cs"/>
            </a:rPr>
            <a:t>Endangered/critical species</a:t>
          </a:r>
        </a:p>
      </dgm:t>
    </dgm:pt>
    <dgm:pt modelId="{902A46E1-88AA-4B33-8F08-42370B0678BB}" type="parTrans" cxnId="{4EB95666-3078-4959-9ECA-FC2E51E02146}">
      <dgm:prSet/>
      <dgm:spPr/>
      <dgm:t>
        <a:bodyPr/>
        <a:lstStyle/>
        <a:p>
          <a:endParaRPr lang="en-US"/>
        </a:p>
      </dgm:t>
    </dgm:pt>
    <dgm:pt modelId="{55C185EA-608B-4743-99A6-F84B22801755}" type="sibTrans" cxnId="{4EB95666-3078-4959-9ECA-FC2E51E02146}">
      <dgm:prSet/>
      <dgm:spPr/>
      <dgm:t>
        <a:bodyPr/>
        <a:lstStyle/>
        <a:p>
          <a:endParaRPr lang="en-US"/>
        </a:p>
      </dgm:t>
    </dgm:pt>
    <dgm:pt modelId="{DFF3BF04-CD6D-4089-B48D-A4408333DA1E}" type="pres">
      <dgm:prSet presAssocID="{7544A5C9-DA12-453C-8D5F-4E516F4933C9}" presName="Name0" presStyleCnt="0">
        <dgm:presLayoutVars>
          <dgm:dir/>
          <dgm:animLvl val="lvl"/>
          <dgm:resizeHandles val="exact"/>
        </dgm:presLayoutVars>
      </dgm:prSet>
      <dgm:spPr/>
    </dgm:pt>
    <dgm:pt modelId="{3667BF53-8AC2-417B-87B6-F94824D62B05}" type="pres">
      <dgm:prSet presAssocID="{456B1794-C07A-45D7-AA39-E8179BCAEA02}" presName="composite" presStyleCnt="0"/>
      <dgm:spPr/>
    </dgm:pt>
    <dgm:pt modelId="{408F150D-7DE8-410D-88E4-3733D3EE7000}" type="pres">
      <dgm:prSet presAssocID="{456B1794-C07A-45D7-AA39-E8179BCAEA02}" presName="parTx" presStyleLbl="alignNode1" presStyleIdx="0" presStyleCnt="5" custScaleX="100630" custScaleY="103944" custLinFactNeighborX="-1086" custLinFactNeighborY="827">
        <dgm:presLayoutVars>
          <dgm:chMax val="0"/>
          <dgm:chPref val="0"/>
          <dgm:bulletEnabled val="1"/>
        </dgm:presLayoutVars>
      </dgm:prSet>
      <dgm:spPr>
        <a:prstGeom prst="rect">
          <a:avLst/>
        </a:prstGeom>
      </dgm:spPr>
    </dgm:pt>
    <dgm:pt modelId="{8D7104B5-AF16-44CD-AE03-1ED92576C6FC}" type="pres">
      <dgm:prSet presAssocID="{456B1794-C07A-45D7-AA39-E8179BCAEA02}" presName="desTx" presStyleLbl="alignAccFollowNode1" presStyleIdx="0" presStyleCnt="5" custScaleY="99622">
        <dgm:presLayoutVars>
          <dgm:bulletEnabled val="1"/>
        </dgm:presLayoutVars>
      </dgm:prSet>
      <dgm:spPr>
        <a:prstGeom prst="rect">
          <a:avLst/>
        </a:prstGeom>
      </dgm:spPr>
    </dgm:pt>
    <dgm:pt modelId="{B5395F09-1DF9-45BB-B13C-FF1D0ACF4379}" type="pres">
      <dgm:prSet presAssocID="{B953FAD7-30AB-4A7C-BC26-0515758AB742}" presName="space" presStyleCnt="0"/>
      <dgm:spPr/>
    </dgm:pt>
    <dgm:pt modelId="{52253CD9-7EF5-48AA-996A-C62196671A09}" type="pres">
      <dgm:prSet presAssocID="{C48AEE1A-96C6-46B9-BAB5-4CC15C9044D8}" presName="composite" presStyleCnt="0"/>
      <dgm:spPr/>
    </dgm:pt>
    <dgm:pt modelId="{7A502AF1-2923-4604-83C8-CD4625BB8E2B}" type="pres">
      <dgm:prSet presAssocID="{C48AEE1A-96C6-46B9-BAB5-4CC15C9044D8}" presName="parTx" presStyleLbl="alignNode1" presStyleIdx="1" presStyleCnt="5">
        <dgm:presLayoutVars>
          <dgm:chMax val="0"/>
          <dgm:chPref val="0"/>
          <dgm:bulletEnabled val="1"/>
        </dgm:presLayoutVars>
      </dgm:prSet>
      <dgm:spPr>
        <a:prstGeom prst="rect">
          <a:avLst/>
        </a:prstGeom>
      </dgm:spPr>
    </dgm:pt>
    <dgm:pt modelId="{053AC868-803A-4D6C-B292-4AE77B2FACF2}" type="pres">
      <dgm:prSet presAssocID="{C48AEE1A-96C6-46B9-BAB5-4CC15C9044D8}" presName="desTx" presStyleLbl="alignAccFollowNode1" presStyleIdx="1" presStyleCnt="5">
        <dgm:presLayoutVars>
          <dgm:bulletEnabled val="1"/>
        </dgm:presLayoutVars>
      </dgm:prSet>
      <dgm:spPr>
        <a:prstGeom prst="rect">
          <a:avLst/>
        </a:prstGeom>
      </dgm:spPr>
    </dgm:pt>
    <dgm:pt modelId="{E59B13A0-BCB6-4A69-A576-98562660F4D4}" type="pres">
      <dgm:prSet presAssocID="{3844386E-2E7C-4AA4-A3F2-A088C2CF841E}" presName="space" presStyleCnt="0"/>
      <dgm:spPr/>
    </dgm:pt>
    <dgm:pt modelId="{F9ACF062-55F4-4B22-A298-68D0EB15BC04}" type="pres">
      <dgm:prSet presAssocID="{81FB1A21-38EB-453E-BDD3-2EC5CF3B3B86}" presName="composite" presStyleCnt="0"/>
      <dgm:spPr/>
    </dgm:pt>
    <dgm:pt modelId="{5E1D52DD-5CEC-482A-865D-FCDA5BED832B}" type="pres">
      <dgm:prSet presAssocID="{81FB1A21-38EB-453E-BDD3-2EC5CF3B3B86}" presName="parTx" presStyleLbl="alignNode1" presStyleIdx="2" presStyleCnt="5">
        <dgm:presLayoutVars>
          <dgm:chMax val="0"/>
          <dgm:chPref val="0"/>
          <dgm:bulletEnabled val="1"/>
        </dgm:presLayoutVars>
      </dgm:prSet>
      <dgm:spPr>
        <a:prstGeom prst="rect">
          <a:avLst/>
        </a:prstGeom>
      </dgm:spPr>
    </dgm:pt>
    <dgm:pt modelId="{C9776F62-4C6C-456E-9129-67D9B8355173}" type="pres">
      <dgm:prSet presAssocID="{81FB1A21-38EB-453E-BDD3-2EC5CF3B3B86}" presName="desTx" presStyleLbl="alignAccFollowNode1" presStyleIdx="2" presStyleCnt="5">
        <dgm:presLayoutVars>
          <dgm:bulletEnabled val="1"/>
        </dgm:presLayoutVars>
      </dgm:prSet>
      <dgm:spPr>
        <a:prstGeom prst="rect">
          <a:avLst/>
        </a:prstGeom>
      </dgm:spPr>
    </dgm:pt>
    <dgm:pt modelId="{32F615DA-9A77-467A-B02F-331401ECACA2}" type="pres">
      <dgm:prSet presAssocID="{B28AC4B5-C18F-4C61-A404-67135FDCA0F6}" presName="space" presStyleCnt="0"/>
      <dgm:spPr/>
    </dgm:pt>
    <dgm:pt modelId="{8641C497-84E2-4FED-A5D9-CDF13B7BE01A}" type="pres">
      <dgm:prSet presAssocID="{2AC15E74-5AC3-499D-8303-AFE867A8232F}" presName="composite" presStyleCnt="0"/>
      <dgm:spPr/>
    </dgm:pt>
    <dgm:pt modelId="{60BD50C1-FD92-4B41-BECD-ED5801EF614C}" type="pres">
      <dgm:prSet presAssocID="{2AC15E74-5AC3-499D-8303-AFE867A8232F}" presName="parTx" presStyleLbl="alignNode1" presStyleIdx="3" presStyleCnt="5">
        <dgm:presLayoutVars>
          <dgm:chMax val="0"/>
          <dgm:chPref val="0"/>
          <dgm:bulletEnabled val="1"/>
        </dgm:presLayoutVars>
      </dgm:prSet>
      <dgm:spPr>
        <a:prstGeom prst="rect">
          <a:avLst/>
        </a:prstGeom>
      </dgm:spPr>
    </dgm:pt>
    <dgm:pt modelId="{2EE83AC2-A8A0-4A4D-86D5-C10C912A5FBE}" type="pres">
      <dgm:prSet presAssocID="{2AC15E74-5AC3-499D-8303-AFE867A8232F}" presName="desTx" presStyleLbl="alignAccFollowNode1" presStyleIdx="3" presStyleCnt="5">
        <dgm:presLayoutVars>
          <dgm:bulletEnabled val="1"/>
        </dgm:presLayoutVars>
      </dgm:prSet>
      <dgm:spPr>
        <a:prstGeom prst="rect">
          <a:avLst/>
        </a:prstGeom>
      </dgm:spPr>
    </dgm:pt>
    <dgm:pt modelId="{37CE3CC8-9AFE-4081-94F3-E6EC32F013F0}" type="pres">
      <dgm:prSet presAssocID="{3BBAA639-2886-4F40-BFDB-091F71F8F229}" presName="space" presStyleCnt="0"/>
      <dgm:spPr/>
    </dgm:pt>
    <dgm:pt modelId="{45E27A8C-9686-48E7-B7FB-A088E660A21F}" type="pres">
      <dgm:prSet presAssocID="{683D5744-E429-4C63-AD54-FC5B96A48B0A}" presName="composite" presStyleCnt="0"/>
      <dgm:spPr/>
    </dgm:pt>
    <dgm:pt modelId="{C763F553-6C8E-4137-87FE-A65B6BED6DD1}" type="pres">
      <dgm:prSet presAssocID="{683D5744-E429-4C63-AD54-FC5B96A48B0A}" presName="parTx" presStyleLbl="alignNode1" presStyleIdx="4" presStyleCnt="5">
        <dgm:presLayoutVars>
          <dgm:chMax val="0"/>
          <dgm:chPref val="0"/>
          <dgm:bulletEnabled val="1"/>
        </dgm:presLayoutVars>
      </dgm:prSet>
      <dgm:spPr>
        <a:prstGeom prst="rect">
          <a:avLst/>
        </a:prstGeom>
      </dgm:spPr>
    </dgm:pt>
    <dgm:pt modelId="{C21D8156-218F-4C0E-AC6D-B0A0BD6EFBA2}" type="pres">
      <dgm:prSet presAssocID="{683D5744-E429-4C63-AD54-FC5B96A48B0A}" presName="desTx" presStyleLbl="alignAccFollowNode1" presStyleIdx="4" presStyleCnt="5">
        <dgm:presLayoutVars>
          <dgm:bulletEnabled val="1"/>
        </dgm:presLayoutVars>
      </dgm:prSet>
      <dgm:spPr>
        <a:prstGeom prst="rect">
          <a:avLst/>
        </a:prstGeom>
      </dgm:spPr>
    </dgm:pt>
  </dgm:ptLst>
  <dgm:cxnLst>
    <dgm:cxn modelId="{03D38A02-644B-40A4-90FD-B84C9972D181}" type="presOf" srcId="{683D5744-E429-4C63-AD54-FC5B96A48B0A}" destId="{C763F553-6C8E-4137-87FE-A65B6BED6DD1}" srcOrd="0" destOrd="0" presId="urn:microsoft.com/office/officeart/2005/8/layout/hList1"/>
    <dgm:cxn modelId="{A975A302-8BA7-460E-A480-46052BFED6B2}" srcId="{456B1794-C07A-45D7-AA39-E8179BCAEA02}" destId="{16EF52E5-1770-4F21-9AF0-BD8E99720665}" srcOrd="0" destOrd="0" parTransId="{646BF5AB-F13E-46F3-A597-483C04DCBF2D}" sibTransId="{7D1B7CB0-FD3D-401B-8945-E9DF6AD51550}"/>
    <dgm:cxn modelId="{C08D1304-67D5-44D9-87A3-0F1508D7F1F7}" type="presOf" srcId="{B1F0F665-3CF1-49EF-A1F7-1EEFAF6D4918}" destId="{C21D8156-218F-4C0E-AC6D-B0A0BD6EFBA2}" srcOrd="0" destOrd="4" presId="urn:microsoft.com/office/officeart/2005/8/layout/hList1"/>
    <dgm:cxn modelId="{5AE6630A-DE67-45AC-BBA5-1F927B2D5501}" srcId="{2AC15E74-5AC3-499D-8303-AFE867A8232F}" destId="{B37CE4EF-51A6-4040-A13B-0FC354A62636}" srcOrd="2" destOrd="0" parTransId="{8835A4D7-F159-4A56-BE67-7203300B6C6E}" sibTransId="{F91F2111-6A64-4D03-9251-A115329F047D}"/>
    <dgm:cxn modelId="{DD2DAC0B-5AE5-40C6-9619-AB11C820B96C}" type="presOf" srcId="{5560FAAF-C116-4C2E-BDEE-77B05332F451}" destId="{053AC868-803A-4D6C-B292-4AE77B2FACF2}" srcOrd="0" destOrd="2" presId="urn:microsoft.com/office/officeart/2005/8/layout/hList1"/>
    <dgm:cxn modelId="{7A1EFE0D-DD7F-4F7F-8A48-A52DF492331B}" type="presOf" srcId="{7BFF917E-E799-4090-9AAA-7EEAF9DD0A0F}" destId="{2EE83AC2-A8A0-4A4D-86D5-C10C912A5FBE}" srcOrd="0" destOrd="0" presId="urn:microsoft.com/office/officeart/2005/8/layout/hList1"/>
    <dgm:cxn modelId="{B33EA910-D534-4EAD-B9EC-24ADCB61BC8A}" type="presOf" srcId="{EA9DAF3B-D566-4121-927F-1AACDD05FA1F}" destId="{8D7104B5-AF16-44CD-AE03-1ED92576C6FC}" srcOrd="0" destOrd="3" presId="urn:microsoft.com/office/officeart/2005/8/layout/hList1"/>
    <dgm:cxn modelId="{253B9116-CDA2-405C-9C0A-A334115ACBEC}" type="presOf" srcId="{EC4EF397-40B4-40FB-B65D-432907CD74D4}" destId="{053AC868-803A-4D6C-B292-4AE77B2FACF2}" srcOrd="0" destOrd="0" presId="urn:microsoft.com/office/officeart/2005/8/layout/hList1"/>
    <dgm:cxn modelId="{B20EBD17-3735-4160-9B5A-8E748A6B339E}" type="presOf" srcId="{D10B2F4B-E8C7-4EED-8643-2CA12541C898}" destId="{C9776F62-4C6C-456E-9129-67D9B8355173}" srcOrd="0" destOrd="2" presId="urn:microsoft.com/office/officeart/2005/8/layout/hList1"/>
    <dgm:cxn modelId="{07A9E219-359D-483F-BCAE-420222D82D88}" srcId="{2AC15E74-5AC3-499D-8303-AFE867A8232F}" destId="{D2B8C4F4-2BE7-4937-AAF2-DBCF57446794}" srcOrd="1" destOrd="0" parTransId="{80D1A302-2940-48BD-BBB0-7D468D75E980}" sibTransId="{5C4D8E53-4CCC-47E2-8DE5-E6B703E99C7E}"/>
    <dgm:cxn modelId="{87515E21-2B93-4A76-85AC-C8F95C677837}" type="presOf" srcId="{DA3ABB5C-5CA1-48AD-97BB-DF881B01620F}" destId="{8D7104B5-AF16-44CD-AE03-1ED92576C6FC}" srcOrd="0" destOrd="5" presId="urn:microsoft.com/office/officeart/2005/8/layout/hList1"/>
    <dgm:cxn modelId="{BD0F3932-BA44-48F4-AADB-C6E577746A15}" srcId="{683D5744-E429-4C63-AD54-FC5B96A48B0A}" destId="{63EFAF6E-0BFD-4274-8DE4-B8E0A4644F56}" srcOrd="3" destOrd="0" parTransId="{EA4CA7F9-5774-48A3-AC99-68310C7DD762}" sibTransId="{E5A09FC0-9B83-4E13-9484-473DE83854AE}"/>
    <dgm:cxn modelId="{18753234-19C1-40C0-9D2C-C324FF080817}" type="presOf" srcId="{70B454A0-7BF7-461C-8DBA-16DE6ABD0493}" destId="{8D7104B5-AF16-44CD-AE03-1ED92576C6FC}" srcOrd="0" destOrd="6" presId="urn:microsoft.com/office/officeart/2005/8/layout/hList1"/>
    <dgm:cxn modelId="{7ADE3D35-6502-4AF8-9273-DE7BEC4D2360}" type="presOf" srcId="{2301E58A-8F3B-49AC-9847-F2C37DCEBE1C}" destId="{2EE83AC2-A8A0-4A4D-86D5-C10C912A5FBE}" srcOrd="0" destOrd="5" presId="urn:microsoft.com/office/officeart/2005/8/layout/hList1"/>
    <dgm:cxn modelId="{DBC2683F-33DA-41FC-B879-0E68915EE682}" srcId="{C48AEE1A-96C6-46B9-BAB5-4CC15C9044D8}" destId="{EC4EF397-40B4-40FB-B65D-432907CD74D4}" srcOrd="0" destOrd="0" parTransId="{8D88EF11-A4AD-4BE1-B7EE-8436EF44C6F6}" sibTransId="{7F46947D-52AD-48F4-B792-45212F19C51C}"/>
    <dgm:cxn modelId="{8EE8295C-6DF4-426A-BC9D-485D4696E69F}" type="presOf" srcId="{6BC5FFC5-74EB-4E53-B296-314794B7C50C}" destId="{C21D8156-218F-4C0E-AC6D-B0A0BD6EFBA2}" srcOrd="0" destOrd="2" presId="urn:microsoft.com/office/officeart/2005/8/layout/hList1"/>
    <dgm:cxn modelId="{DCC3E45F-F84A-4178-9BD4-5C707A0916F4}" type="presOf" srcId="{C48AEE1A-96C6-46B9-BAB5-4CC15C9044D8}" destId="{7A502AF1-2923-4604-83C8-CD4625BB8E2B}" srcOrd="0" destOrd="0" presId="urn:microsoft.com/office/officeart/2005/8/layout/hList1"/>
    <dgm:cxn modelId="{054B5C63-E97D-4BD2-959B-C774D8C57D15}" type="presOf" srcId="{81FB1A21-38EB-453E-BDD3-2EC5CF3B3B86}" destId="{5E1D52DD-5CEC-482A-865D-FCDA5BED832B}" srcOrd="0" destOrd="0" presId="urn:microsoft.com/office/officeart/2005/8/layout/hList1"/>
    <dgm:cxn modelId="{E64F2166-60E4-4956-8DD3-09BBFA316CFE}" type="presOf" srcId="{833AC925-0FF2-4564-9279-9F3FA1AA4452}" destId="{C9776F62-4C6C-456E-9129-67D9B8355173}" srcOrd="0" destOrd="1" presId="urn:microsoft.com/office/officeart/2005/8/layout/hList1"/>
    <dgm:cxn modelId="{DE514F46-D018-4A12-A269-6C013E177B50}" type="presOf" srcId="{DBFCAF0E-E37C-4318-8AFA-813E32F7EBC6}" destId="{8D7104B5-AF16-44CD-AE03-1ED92576C6FC}" srcOrd="0" destOrd="2" presId="urn:microsoft.com/office/officeart/2005/8/layout/hList1"/>
    <dgm:cxn modelId="{4EB95666-3078-4959-9ECA-FC2E51E02146}" srcId="{683D5744-E429-4C63-AD54-FC5B96A48B0A}" destId="{B1F0F665-3CF1-49EF-A1F7-1EEFAF6D4918}" srcOrd="4" destOrd="0" parTransId="{902A46E1-88AA-4B33-8F08-42370B0678BB}" sibTransId="{55C185EA-608B-4743-99A6-F84B22801755}"/>
    <dgm:cxn modelId="{BF43C646-B9EA-46FC-A3A5-D80BF97A06F0}" type="presOf" srcId="{A9BEAA74-6E30-47FA-B5CE-EC9A7C6C8137}" destId="{053AC868-803A-4D6C-B292-4AE77B2FACF2}" srcOrd="0" destOrd="1" presId="urn:microsoft.com/office/officeart/2005/8/layout/hList1"/>
    <dgm:cxn modelId="{BB87B567-4883-4659-8922-7277BBFD666F}" srcId="{456B1794-C07A-45D7-AA39-E8179BCAEA02}" destId="{324496B1-DF4D-40C0-BC32-EC540CEA7D38}" srcOrd="8" destOrd="0" parTransId="{C73A6382-FC5D-4809-B0B8-42D09CC62ABA}" sibTransId="{2FAD22BE-4C49-40B9-938E-B872E3B0DD06}"/>
    <dgm:cxn modelId="{00F80248-5BB6-4A73-817A-2EFF208CA887}" type="presOf" srcId="{B37CE4EF-51A6-4040-A13B-0FC354A62636}" destId="{2EE83AC2-A8A0-4A4D-86D5-C10C912A5FBE}" srcOrd="0" destOrd="2" presId="urn:microsoft.com/office/officeart/2005/8/layout/hList1"/>
    <dgm:cxn modelId="{438C7D49-4974-46BE-ADB2-C12535440FAE}" srcId="{2AC15E74-5AC3-499D-8303-AFE867A8232F}" destId="{7BFF917E-E799-4090-9AAA-7EEAF9DD0A0F}" srcOrd="0" destOrd="0" parTransId="{5ECBC942-0B49-487F-88DE-689E43118872}" sibTransId="{421BBBD7-0439-449C-BF25-B67D21230D0C}"/>
    <dgm:cxn modelId="{10EAF06A-BE02-4AC2-B5D6-0825197E7F5F}" type="presOf" srcId="{A819F5FD-F3AD-4526-9C9D-6A3974FED388}" destId="{8D7104B5-AF16-44CD-AE03-1ED92576C6FC}" srcOrd="0" destOrd="1" presId="urn:microsoft.com/office/officeart/2005/8/layout/hList1"/>
    <dgm:cxn modelId="{D882F66D-1D30-497E-A902-8ABEE3D212C2}" srcId="{7544A5C9-DA12-453C-8D5F-4E516F4933C9}" destId="{456B1794-C07A-45D7-AA39-E8179BCAEA02}" srcOrd="0" destOrd="0" parTransId="{74584F1D-9259-4534-B4B7-A0C9D9CD8F4E}" sibTransId="{B953FAD7-30AB-4A7C-BC26-0515758AB742}"/>
    <dgm:cxn modelId="{BD433E50-3035-4D77-84BB-6C65806120A9}" srcId="{456B1794-C07A-45D7-AA39-E8179BCAEA02}" destId="{DA3ABB5C-5CA1-48AD-97BB-DF881B01620F}" srcOrd="5" destOrd="0" parTransId="{9E41218C-38DD-44BF-B2F0-FF8CFCECD4A2}" sibTransId="{D89F75BD-D10D-452B-BB39-77726C681133}"/>
    <dgm:cxn modelId="{9017F971-D708-48A7-BAD9-BBD2003DF0B7}" type="presOf" srcId="{D6502931-8774-45D2-BD87-0F9AE507BA52}" destId="{053AC868-803A-4D6C-B292-4AE77B2FACF2}" srcOrd="0" destOrd="3" presId="urn:microsoft.com/office/officeart/2005/8/layout/hList1"/>
    <dgm:cxn modelId="{81CF5774-4917-444E-A47C-3D9ADFD2D077}" srcId="{7544A5C9-DA12-453C-8D5F-4E516F4933C9}" destId="{683D5744-E429-4C63-AD54-FC5B96A48B0A}" srcOrd="4" destOrd="0" parTransId="{585A1670-C92F-40DD-AC85-79A3DA616F1A}" sibTransId="{7934CFE2-BDFC-4C24-9C17-F786AAA18DF7}"/>
    <dgm:cxn modelId="{A03D0875-063B-4A85-B9B1-5089E02EEC3A}" srcId="{81FB1A21-38EB-453E-BDD3-2EC5CF3B3B86}" destId="{4BC40D05-3979-435F-8B04-A54235855001}" srcOrd="3" destOrd="0" parTransId="{0FA94400-2A74-41A3-8BD2-E916F1AC7EB4}" sibTransId="{BE29EDDA-CEA3-41D4-BC42-75B7E2A6DD19}"/>
    <dgm:cxn modelId="{B4AEE87C-4B0F-4A1E-8C55-FFFA8E36D8C0}" srcId="{683D5744-E429-4C63-AD54-FC5B96A48B0A}" destId="{423666B4-62A9-4B87-9A4C-93E49E605957}" srcOrd="1" destOrd="0" parTransId="{868E1A38-4043-496B-AE78-6B516105CF74}" sibTransId="{168F27D7-88D8-4B2B-8DFF-1456E35ADC41}"/>
    <dgm:cxn modelId="{5BEF1181-F89F-464E-A139-EF970EE38C90}" type="presOf" srcId="{423666B4-62A9-4B87-9A4C-93E49E605957}" destId="{C21D8156-218F-4C0E-AC6D-B0A0BD6EFBA2}" srcOrd="0" destOrd="1" presId="urn:microsoft.com/office/officeart/2005/8/layout/hList1"/>
    <dgm:cxn modelId="{D2199784-5E55-4523-9FD6-14AAACBECA46}" srcId="{81FB1A21-38EB-453E-BDD3-2EC5CF3B3B86}" destId="{D10B2F4B-E8C7-4EED-8643-2CA12541C898}" srcOrd="2" destOrd="0" parTransId="{FF5413BE-7BA9-4C83-A667-81F6939D255C}" sibTransId="{EF83B96F-EF57-4345-A298-5632F11A1A2C}"/>
    <dgm:cxn modelId="{3E00E985-BDE1-411A-9946-896A2D173A79}" srcId="{683D5744-E429-4C63-AD54-FC5B96A48B0A}" destId="{6BC5FFC5-74EB-4E53-B296-314794B7C50C}" srcOrd="2" destOrd="0" parTransId="{E6831CFB-7228-40A1-942D-8E511D31AEE6}" sibTransId="{7F65CE52-9D9F-4480-A885-5986E56C8D5D}"/>
    <dgm:cxn modelId="{74A65E86-31B7-4BA2-80C6-91B7FCF1043F}" type="presOf" srcId="{D449D9D1-7D0E-4478-997A-95B0F3902B9B}" destId="{C21D8156-218F-4C0E-AC6D-B0A0BD6EFBA2}" srcOrd="0" destOrd="0" presId="urn:microsoft.com/office/officeart/2005/8/layout/hList1"/>
    <dgm:cxn modelId="{7A16BA86-D0D7-4BB6-BF16-D8459CF79DFC}" srcId="{C48AEE1A-96C6-46B9-BAB5-4CC15C9044D8}" destId="{5560FAAF-C116-4C2E-BDEE-77B05332F451}" srcOrd="2" destOrd="0" parTransId="{EE2C9B45-D86E-4005-AD26-FB98E7DE1AD4}" sibTransId="{698C6E6C-228F-4C28-9F0B-5FF138B8C09B}"/>
    <dgm:cxn modelId="{05714287-5F92-42A5-B3D7-F90C28FA9AD6}" type="presOf" srcId="{4BC40D05-3979-435F-8B04-A54235855001}" destId="{C9776F62-4C6C-456E-9129-67D9B8355173}" srcOrd="0" destOrd="3" presId="urn:microsoft.com/office/officeart/2005/8/layout/hList1"/>
    <dgm:cxn modelId="{9BDA4D88-9EEB-4DDE-9D23-BD16BCFC5218}" type="presOf" srcId="{3ECB0ED7-563F-499C-A1BB-22AAF27E3356}" destId="{8D7104B5-AF16-44CD-AE03-1ED92576C6FC}" srcOrd="0" destOrd="4" presId="urn:microsoft.com/office/officeart/2005/8/layout/hList1"/>
    <dgm:cxn modelId="{03B87588-D0D8-4E90-8DC5-141BE63FA7D8}" type="presOf" srcId="{63EFAF6E-0BFD-4274-8DE4-B8E0A4644F56}" destId="{C21D8156-218F-4C0E-AC6D-B0A0BD6EFBA2}" srcOrd="0" destOrd="3" presId="urn:microsoft.com/office/officeart/2005/8/layout/hList1"/>
    <dgm:cxn modelId="{734C8989-1C70-4916-ABA6-E39062962362}" type="presOf" srcId="{D2B8C4F4-2BE7-4937-AAF2-DBCF57446794}" destId="{2EE83AC2-A8A0-4A4D-86D5-C10C912A5FBE}" srcOrd="0" destOrd="1" presId="urn:microsoft.com/office/officeart/2005/8/layout/hList1"/>
    <dgm:cxn modelId="{10DD8E94-F642-4183-A256-0EC930A5962F}" srcId="{2AC15E74-5AC3-499D-8303-AFE867A8232F}" destId="{1B0C548C-EEF4-40C8-B4FC-67FDC5A86917}" srcOrd="3" destOrd="0" parTransId="{0B65EA6C-E1A7-44D0-BCD5-84FDCF69173C}" sibTransId="{629730B1-C47C-43C0-BC96-31D25BCE9CAF}"/>
    <dgm:cxn modelId="{C14A5496-0E32-4FA2-A6A7-E38FFE909A7F}" srcId="{C48AEE1A-96C6-46B9-BAB5-4CC15C9044D8}" destId="{A9BEAA74-6E30-47FA-B5CE-EC9A7C6C8137}" srcOrd="1" destOrd="0" parTransId="{DF5985AC-ADA3-4D8C-A32E-CF777D461186}" sibTransId="{C2FC5450-F2AC-4A58-83EB-E7DF63B5BE02}"/>
    <dgm:cxn modelId="{E5446299-A70B-4266-9DD1-6E7A78AC4AB4}" type="presOf" srcId="{456B1794-C07A-45D7-AA39-E8179BCAEA02}" destId="{408F150D-7DE8-410D-88E4-3733D3EE7000}" srcOrd="0" destOrd="0" presId="urn:microsoft.com/office/officeart/2005/8/layout/hList1"/>
    <dgm:cxn modelId="{AB41509C-FBA1-48B1-A9B5-17B511FCD495}" srcId="{81FB1A21-38EB-453E-BDD3-2EC5CF3B3B86}" destId="{129ED639-1596-454D-96C8-0B8AC713AC01}" srcOrd="0" destOrd="0" parTransId="{43A3D201-8531-4894-99D9-EEEF901C232B}" sibTransId="{AF77C473-8CE5-45BB-8612-D7130D6FC0FA}"/>
    <dgm:cxn modelId="{D946FF9C-D303-4D16-B60C-2D53CCC9DD26}" type="presOf" srcId="{258EB567-AE41-4930-B69F-05F7861450C8}" destId="{2EE83AC2-A8A0-4A4D-86D5-C10C912A5FBE}" srcOrd="0" destOrd="4" presId="urn:microsoft.com/office/officeart/2005/8/layout/hList1"/>
    <dgm:cxn modelId="{BF70DB9D-1147-45B4-B6B9-70BF8D85D012}" type="presOf" srcId="{324496B1-DF4D-40C0-BC32-EC540CEA7D38}" destId="{8D7104B5-AF16-44CD-AE03-1ED92576C6FC}" srcOrd="0" destOrd="8" presId="urn:microsoft.com/office/officeart/2005/8/layout/hList1"/>
    <dgm:cxn modelId="{ECE8B0A0-6869-4663-AF2B-20D4A8F74816}" type="presOf" srcId="{7544A5C9-DA12-453C-8D5F-4E516F4933C9}" destId="{DFF3BF04-CD6D-4089-B48D-A4408333DA1E}" srcOrd="0" destOrd="0" presId="urn:microsoft.com/office/officeart/2005/8/layout/hList1"/>
    <dgm:cxn modelId="{B3F715A9-431D-4957-AA20-DBFF6E13976C}" type="presOf" srcId="{129ED639-1596-454D-96C8-0B8AC713AC01}" destId="{C9776F62-4C6C-456E-9129-67D9B8355173}" srcOrd="0" destOrd="0" presId="urn:microsoft.com/office/officeart/2005/8/layout/hList1"/>
    <dgm:cxn modelId="{827B20AB-CBEC-42B0-B513-08F2B1582185}" srcId="{2AC15E74-5AC3-499D-8303-AFE867A8232F}" destId="{2301E58A-8F3B-49AC-9847-F2C37DCEBE1C}" srcOrd="5" destOrd="0" parTransId="{C76221EB-D2A3-4524-A159-2753CD439C24}" sibTransId="{536C36C7-10B7-4260-8EB7-FB64029A898D}"/>
    <dgm:cxn modelId="{B6B141AF-A945-4C53-BA6D-BC6C0AEC54EA}" type="presOf" srcId="{F263B5CE-E6C2-470B-80DC-452E7F5882EF}" destId="{8D7104B5-AF16-44CD-AE03-1ED92576C6FC}" srcOrd="0" destOrd="9" presId="urn:microsoft.com/office/officeart/2005/8/layout/hList1"/>
    <dgm:cxn modelId="{1F11B8B2-AA8D-4F08-9D95-5EBE9EC922C4}" srcId="{2AC15E74-5AC3-499D-8303-AFE867A8232F}" destId="{258EB567-AE41-4930-B69F-05F7861450C8}" srcOrd="4" destOrd="0" parTransId="{0F9BCF66-270A-414C-B1BA-B2AC57D5BF4D}" sibTransId="{A527AF39-C54D-4704-9785-7ED2D7062DBB}"/>
    <dgm:cxn modelId="{62015EB3-B175-4D8F-9383-8066B686D7DF}" srcId="{7544A5C9-DA12-453C-8D5F-4E516F4933C9}" destId="{C48AEE1A-96C6-46B9-BAB5-4CC15C9044D8}" srcOrd="1" destOrd="0" parTransId="{477FB604-ED5E-48C6-A85C-17EF2ED5303D}" sibTransId="{3844386E-2E7C-4AA4-A3F2-A088C2CF841E}"/>
    <dgm:cxn modelId="{9E8059B9-BAC8-406C-871B-46921E0AC469}" srcId="{7544A5C9-DA12-453C-8D5F-4E516F4933C9}" destId="{2AC15E74-5AC3-499D-8303-AFE867A8232F}" srcOrd="3" destOrd="0" parTransId="{E700E6CB-9D27-4357-9B26-DDD1F1A8D769}" sibTransId="{3BBAA639-2886-4F40-BFDB-091F71F8F229}"/>
    <dgm:cxn modelId="{19E967BD-4BE1-4EBC-9D57-876A45805506}" srcId="{C48AEE1A-96C6-46B9-BAB5-4CC15C9044D8}" destId="{D6502931-8774-45D2-BD87-0F9AE507BA52}" srcOrd="3" destOrd="0" parTransId="{19B315A2-9DBE-4CFA-9A90-A1F12B09ED3E}" sibTransId="{E8D653AD-223D-47C2-9C1F-0E7194EC3898}"/>
    <dgm:cxn modelId="{F3C842C3-1AAF-486E-BB92-A7E703CCFB6E}" srcId="{683D5744-E429-4C63-AD54-FC5B96A48B0A}" destId="{D449D9D1-7D0E-4478-997A-95B0F3902B9B}" srcOrd="0" destOrd="0" parTransId="{6D22D3AF-7998-4F19-AC4C-2225DC56DB43}" sibTransId="{F5866AE8-AD47-4E33-AF23-44CDAF369212}"/>
    <dgm:cxn modelId="{C5EBD4C3-1376-48FB-97CF-49B2E9BE8D4A}" srcId="{7544A5C9-DA12-453C-8D5F-4E516F4933C9}" destId="{81FB1A21-38EB-453E-BDD3-2EC5CF3B3B86}" srcOrd="2" destOrd="0" parTransId="{E4C57D85-C3AB-4BF8-BB51-B35CCB0F9F8B}" sibTransId="{B28AC4B5-C18F-4C61-A404-67135FDCA0F6}"/>
    <dgm:cxn modelId="{9728D6C3-6EA6-4734-83E8-224409F33F0F}" type="presOf" srcId="{1B0C548C-EEF4-40C8-B4FC-67FDC5A86917}" destId="{2EE83AC2-A8A0-4A4D-86D5-C10C912A5FBE}" srcOrd="0" destOrd="3" presId="urn:microsoft.com/office/officeart/2005/8/layout/hList1"/>
    <dgm:cxn modelId="{5BFF42C7-FE3F-45DD-B622-BEC21F737F26}" type="presOf" srcId="{6FC37B42-8474-4767-BA62-DBFC9FCB7FEB}" destId="{8D7104B5-AF16-44CD-AE03-1ED92576C6FC}" srcOrd="0" destOrd="7" presId="urn:microsoft.com/office/officeart/2005/8/layout/hList1"/>
    <dgm:cxn modelId="{896B37D2-E659-4631-A825-24C707D9BF43}" srcId="{456B1794-C07A-45D7-AA39-E8179BCAEA02}" destId="{6FC37B42-8474-4767-BA62-DBFC9FCB7FEB}" srcOrd="7" destOrd="0" parTransId="{D4EBF780-74C3-4D16-9736-D7281425F595}" sibTransId="{4EA07F8A-38A8-4EE8-AD3D-3C44AB1CDD92}"/>
    <dgm:cxn modelId="{D3075ED2-F34D-4F69-BD12-1AD1CBF56F74}" type="presOf" srcId="{2AC15E74-5AC3-499D-8303-AFE867A8232F}" destId="{60BD50C1-FD92-4B41-BECD-ED5801EF614C}" srcOrd="0" destOrd="0" presId="urn:microsoft.com/office/officeart/2005/8/layout/hList1"/>
    <dgm:cxn modelId="{2741D3D9-FC3A-4E4B-A0BF-85995D4FE40F}" srcId="{81FB1A21-38EB-453E-BDD3-2EC5CF3B3B86}" destId="{833AC925-0FF2-4564-9279-9F3FA1AA4452}" srcOrd="1" destOrd="0" parTransId="{57C12020-D88B-46DF-9012-DE8DC9F7F785}" sibTransId="{7753CC68-1F83-46DE-9C12-CC66AA205875}"/>
    <dgm:cxn modelId="{4E73E5DA-1806-42F4-B759-0EA291D13FA8}" srcId="{456B1794-C07A-45D7-AA39-E8179BCAEA02}" destId="{70B454A0-7BF7-461C-8DBA-16DE6ABD0493}" srcOrd="6" destOrd="0" parTransId="{31EB14FD-363A-4E17-ACA4-7EC0C91233C1}" sibTransId="{66AE01C7-851F-4C1A-9D84-6346C42D75D4}"/>
    <dgm:cxn modelId="{DC61F4DE-E1C5-4C4C-9C30-A75B15A8A3BE}" srcId="{456B1794-C07A-45D7-AA39-E8179BCAEA02}" destId="{3ECB0ED7-563F-499C-A1BB-22AAF27E3356}" srcOrd="4" destOrd="0" parTransId="{F10F20C5-2162-47B6-B0EC-9739AA653BDB}" sibTransId="{EC081230-3E9E-41D3-9ABE-884B5D4950E5}"/>
    <dgm:cxn modelId="{353388E0-8BA1-411B-A6EF-CD5811E4DCED}" srcId="{456B1794-C07A-45D7-AA39-E8179BCAEA02}" destId="{EA9DAF3B-D566-4121-927F-1AACDD05FA1F}" srcOrd="3" destOrd="0" parTransId="{9CF059B4-711E-4EC8-9F22-1FF9666CFDDE}" sibTransId="{05DDB53C-00D9-47A1-A985-B14E81E45C37}"/>
    <dgm:cxn modelId="{1A8DBAEF-EDD6-4147-893E-F07400056097}" srcId="{456B1794-C07A-45D7-AA39-E8179BCAEA02}" destId="{A819F5FD-F3AD-4526-9C9D-6A3974FED388}" srcOrd="1" destOrd="0" parTransId="{9FEBD075-6EA0-4A88-BBEF-4F3F1FBB1448}" sibTransId="{6B675FC3-1443-4949-8A85-C647DDDFE57B}"/>
    <dgm:cxn modelId="{9E08A0F1-08A5-46F6-9334-7438F4673F3B}" srcId="{456B1794-C07A-45D7-AA39-E8179BCAEA02}" destId="{DBFCAF0E-E37C-4318-8AFA-813E32F7EBC6}" srcOrd="2" destOrd="0" parTransId="{6B03773F-2A44-48A9-BFF8-E45CED84AA3E}" sibTransId="{9DA83C3F-D47B-4E4B-84E2-C149C4A2BB52}"/>
    <dgm:cxn modelId="{F5F3EBF7-14F2-4C29-BA44-A9C9212C2286}" srcId="{456B1794-C07A-45D7-AA39-E8179BCAEA02}" destId="{F263B5CE-E6C2-470B-80DC-452E7F5882EF}" srcOrd="9" destOrd="0" parTransId="{0776F946-6AAE-4D5F-9263-C27543414699}" sibTransId="{6A53F460-1981-4B9C-922A-051C2810280E}"/>
    <dgm:cxn modelId="{34220AFD-D541-4F12-8799-29BC58073A99}" type="presOf" srcId="{16EF52E5-1770-4F21-9AF0-BD8E99720665}" destId="{8D7104B5-AF16-44CD-AE03-1ED92576C6FC}" srcOrd="0" destOrd="0" presId="urn:microsoft.com/office/officeart/2005/8/layout/hList1"/>
    <dgm:cxn modelId="{724754A9-3CDA-454A-A4A5-0992BCAF4689}" type="presParOf" srcId="{DFF3BF04-CD6D-4089-B48D-A4408333DA1E}" destId="{3667BF53-8AC2-417B-87B6-F94824D62B05}" srcOrd="0" destOrd="0" presId="urn:microsoft.com/office/officeart/2005/8/layout/hList1"/>
    <dgm:cxn modelId="{4797E524-9A30-4F6E-BE47-01FC68ABD481}" type="presParOf" srcId="{3667BF53-8AC2-417B-87B6-F94824D62B05}" destId="{408F150D-7DE8-410D-88E4-3733D3EE7000}" srcOrd="0" destOrd="0" presId="urn:microsoft.com/office/officeart/2005/8/layout/hList1"/>
    <dgm:cxn modelId="{798855CA-6D88-4BE6-89DB-81C4C387839F}" type="presParOf" srcId="{3667BF53-8AC2-417B-87B6-F94824D62B05}" destId="{8D7104B5-AF16-44CD-AE03-1ED92576C6FC}" srcOrd="1" destOrd="0" presId="urn:microsoft.com/office/officeart/2005/8/layout/hList1"/>
    <dgm:cxn modelId="{1DFB011C-FF24-4C4B-AF45-4AAED4FA46D2}" type="presParOf" srcId="{DFF3BF04-CD6D-4089-B48D-A4408333DA1E}" destId="{B5395F09-1DF9-45BB-B13C-FF1D0ACF4379}" srcOrd="1" destOrd="0" presId="urn:microsoft.com/office/officeart/2005/8/layout/hList1"/>
    <dgm:cxn modelId="{34BC26E9-E7B6-44B2-9EDE-7468A549359F}" type="presParOf" srcId="{DFF3BF04-CD6D-4089-B48D-A4408333DA1E}" destId="{52253CD9-7EF5-48AA-996A-C62196671A09}" srcOrd="2" destOrd="0" presId="urn:microsoft.com/office/officeart/2005/8/layout/hList1"/>
    <dgm:cxn modelId="{A488D1F8-2CD9-4658-BAAC-DF605F48A9FB}" type="presParOf" srcId="{52253CD9-7EF5-48AA-996A-C62196671A09}" destId="{7A502AF1-2923-4604-83C8-CD4625BB8E2B}" srcOrd="0" destOrd="0" presId="urn:microsoft.com/office/officeart/2005/8/layout/hList1"/>
    <dgm:cxn modelId="{008C1C4F-A0CA-4582-A4F3-D0354248C10D}" type="presParOf" srcId="{52253CD9-7EF5-48AA-996A-C62196671A09}" destId="{053AC868-803A-4D6C-B292-4AE77B2FACF2}" srcOrd="1" destOrd="0" presId="urn:microsoft.com/office/officeart/2005/8/layout/hList1"/>
    <dgm:cxn modelId="{4F18F839-2E42-4EB0-9F71-D4A8E23B48A7}" type="presParOf" srcId="{DFF3BF04-CD6D-4089-B48D-A4408333DA1E}" destId="{E59B13A0-BCB6-4A69-A576-98562660F4D4}" srcOrd="3" destOrd="0" presId="urn:microsoft.com/office/officeart/2005/8/layout/hList1"/>
    <dgm:cxn modelId="{A961668E-5705-4C3B-B19F-43B23CF572F1}" type="presParOf" srcId="{DFF3BF04-CD6D-4089-B48D-A4408333DA1E}" destId="{F9ACF062-55F4-4B22-A298-68D0EB15BC04}" srcOrd="4" destOrd="0" presId="urn:microsoft.com/office/officeart/2005/8/layout/hList1"/>
    <dgm:cxn modelId="{C16C010C-2EBA-4D3E-BEFE-9ACDEDD215D4}" type="presParOf" srcId="{F9ACF062-55F4-4B22-A298-68D0EB15BC04}" destId="{5E1D52DD-5CEC-482A-865D-FCDA5BED832B}" srcOrd="0" destOrd="0" presId="urn:microsoft.com/office/officeart/2005/8/layout/hList1"/>
    <dgm:cxn modelId="{DBF2E889-5E5F-4018-A720-8C6716626E24}" type="presParOf" srcId="{F9ACF062-55F4-4B22-A298-68D0EB15BC04}" destId="{C9776F62-4C6C-456E-9129-67D9B8355173}" srcOrd="1" destOrd="0" presId="urn:microsoft.com/office/officeart/2005/8/layout/hList1"/>
    <dgm:cxn modelId="{3C356D1F-B0C8-400D-AF47-BCA90A29BB00}" type="presParOf" srcId="{DFF3BF04-CD6D-4089-B48D-A4408333DA1E}" destId="{32F615DA-9A77-467A-B02F-331401ECACA2}" srcOrd="5" destOrd="0" presId="urn:microsoft.com/office/officeart/2005/8/layout/hList1"/>
    <dgm:cxn modelId="{56121C49-8361-48F0-9B00-8370354CB909}" type="presParOf" srcId="{DFF3BF04-CD6D-4089-B48D-A4408333DA1E}" destId="{8641C497-84E2-4FED-A5D9-CDF13B7BE01A}" srcOrd="6" destOrd="0" presId="urn:microsoft.com/office/officeart/2005/8/layout/hList1"/>
    <dgm:cxn modelId="{94AE6B83-B65F-4FB4-98FD-76593D9F8E3A}" type="presParOf" srcId="{8641C497-84E2-4FED-A5D9-CDF13B7BE01A}" destId="{60BD50C1-FD92-4B41-BECD-ED5801EF614C}" srcOrd="0" destOrd="0" presId="urn:microsoft.com/office/officeart/2005/8/layout/hList1"/>
    <dgm:cxn modelId="{EACED789-4C12-4E9C-A7B1-431A8E9BD185}" type="presParOf" srcId="{8641C497-84E2-4FED-A5D9-CDF13B7BE01A}" destId="{2EE83AC2-A8A0-4A4D-86D5-C10C912A5FBE}" srcOrd="1" destOrd="0" presId="urn:microsoft.com/office/officeart/2005/8/layout/hList1"/>
    <dgm:cxn modelId="{16C98D60-F371-47EE-9871-6ACF274855DF}" type="presParOf" srcId="{DFF3BF04-CD6D-4089-B48D-A4408333DA1E}" destId="{37CE3CC8-9AFE-4081-94F3-E6EC32F013F0}" srcOrd="7" destOrd="0" presId="urn:microsoft.com/office/officeart/2005/8/layout/hList1"/>
    <dgm:cxn modelId="{7581A9AC-266B-428B-9A27-447ABF74DF96}" type="presParOf" srcId="{DFF3BF04-CD6D-4089-B48D-A4408333DA1E}" destId="{45E27A8C-9686-48E7-B7FB-A088E660A21F}" srcOrd="8" destOrd="0" presId="urn:microsoft.com/office/officeart/2005/8/layout/hList1"/>
    <dgm:cxn modelId="{19DEFC2A-7EC4-4775-A0E6-C679D03EB6A4}" type="presParOf" srcId="{45E27A8C-9686-48E7-B7FB-A088E660A21F}" destId="{C763F553-6C8E-4137-87FE-A65B6BED6DD1}" srcOrd="0" destOrd="0" presId="urn:microsoft.com/office/officeart/2005/8/layout/hList1"/>
    <dgm:cxn modelId="{392132C1-56CF-429A-A70A-F8D8DEFF13B7}" type="presParOf" srcId="{45E27A8C-9686-48E7-B7FB-A088E660A21F}" destId="{C21D8156-218F-4C0E-AC6D-B0A0BD6EFBA2}" srcOrd="1" destOrd="0" presId="urn:microsoft.com/office/officeart/2005/8/layout/h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8F150D-7DE8-410D-88E4-3733D3EE7000}">
      <dsp:nvSpPr>
        <dsp:cNvPr id="0" name=""/>
        <dsp:cNvSpPr/>
      </dsp:nvSpPr>
      <dsp:spPr>
        <a:xfrm>
          <a:off x="0" y="29246"/>
          <a:ext cx="1100778" cy="454811"/>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3152" tIns="40640" rIns="73152" bIns="40640" numCol="1" spcCol="1270" anchor="ctr" anchorCtr="0">
          <a:noAutofit/>
        </a:bodyPr>
        <a:lstStyle/>
        <a:p>
          <a:pPr marL="0" lvl="0" indent="0" algn="ctr" defTabSz="422275">
            <a:lnSpc>
              <a:spcPct val="90000"/>
            </a:lnSpc>
            <a:spcBef>
              <a:spcPct val="0"/>
            </a:spcBef>
            <a:spcAft>
              <a:spcPct val="35000"/>
            </a:spcAft>
            <a:buNone/>
          </a:pPr>
          <a:r>
            <a:rPr lang="en-US" sz="950" kern="1200">
              <a:solidFill>
                <a:sysClr val="windowText" lastClr="000000"/>
              </a:solidFill>
              <a:latin typeface="Calibri"/>
              <a:ea typeface="+mn-ea"/>
              <a:cs typeface="+mn-cs"/>
            </a:rPr>
            <a:t>Acts &amp; Laws</a:t>
          </a:r>
        </a:p>
      </dsp:txBody>
      <dsp:txXfrm>
        <a:off x="0" y="29246"/>
        <a:ext cx="1100778" cy="454811"/>
      </dsp:txXfrm>
    </dsp:sp>
    <dsp:sp modelId="{8D7104B5-AF16-44CD-AE03-1ED92576C6FC}">
      <dsp:nvSpPr>
        <dsp:cNvPr id="0" name=""/>
        <dsp:cNvSpPr/>
      </dsp:nvSpPr>
      <dsp:spPr>
        <a:xfrm>
          <a:off x="6994" y="478119"/>
          <a:ext cx="1093886" cy="3325302"/>
        </a:xfrm>
        <a:prstGeom prst="rect">
          <a:avLst/>
        </a:prstGeo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National Environmental Policy Act (NEPA)</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Endangered Species Act (ESA)</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Clean Water Act (CWA)</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National Historic Preservation Act (NHPA)</a:t>
          </a:r>
        </a:p>
        <a:p>
          <a:pPr marL="57150" lvl="1" indent="-57150" algn="l" defTabSz="400050">
            <a:lnSpc>
              <a:spcPct val="90000"/>
            </a:lnSpc>
            <a:spcBef>
              <a:spcPct val="0"/>
            </a:spcBef>
            <a:spcAft>
              <a:spcPct val="15000"/>
            </a:spcAft>
            <a:buChar char="•"/>
          </a:pPr>
          <a:r>
            <a:rPr lang="en-US" sz="900" kern="1200">
              <a:solidFill>
                <a:sysClr val="windowText" lastClr="000000"/>
              </a:solidFill>
              <a:latin typeface="Calibri"/>
              <a:ea typeface="+mn-ea"/>
              <a:cs typeface="+mn-cs"/>
            </a:rPr>
            <a:t>Comprehensive Environmental Response, Compensation, and Liability Act (CERCLA)</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Resource Conservation and Recovery Act (RCRA)</a:t>
          </a:r>
        </a:p>
        <a:p>
          <a:pPr marL="57150" lvl="1" indent="-57150" algn="l" defTabSz="400050">
            <a:lnSpc>
              <a:spcPct val="90000"/>
            </a:lnSpc>
            <a:spcBef>
              <a:spcPct val="0"/>
            </a:spcBef>
            <a:spcAft>
              <a:spcPct val="15000"/>
            </a:spcAft>
            <a:buChar char="•"/>
          </a:pPr>
          <a:endParaRPr lang="en-US"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endParaRPr lang="en-US"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endParaRPr lang="en-US"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endParaRPr lang="en-US" sz="900" kern="1200">
            <a:solidFill>
              <a:sysClr val="windowText" lastClr="000000">
                <a:hueOff val="0"/>
                <a:satOff val="0"/>
                <a:lumOff val="0"/>
                <a:alphaOff val="0"/>
              </a:sysClr>
            </a:solidFill>
            <a:latin typeface="Calibri"/>
            <a:ea typeface="+mn-ea"/>
            <a:cs typeface="+mn-cs"/>
          </a:endParaRPr>
        </a:p>
      </dsp:txBody>
      <dsp:txXfrm>
        <a:off x="6994" y="478119"/>
        <a:ext cx="1093886" cy="3325302"/>
      </dsp:txXfrm>
    </dsp:sp>
    <dsp:sp modelId="{7A502AF1-2923-4604-83C8-CD4625BB8E2B}">
      <dsp:nvSpPr>
        <dsp:cNvPr id="0" name=""/>
        <dsp:cNvSpPr/>
      </dsp:nvSpPr>
      <dsp:spPr>
        <a:xfrm>
          <a:off x="1257471" y="26787"/>
          <a:ext cx="1093886" cy="437554"/>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22275">
            <a:lnSpc>
              <a:spcPct val="90000"/>
            </a:lnSpc>
            <a:spcBef>
              <a:spcPct val="0"/>
            </a:spcBef>
            <a:spcAft>
              <a:spcPct val="35000"/>
            </a:spcAft>
            <a:buNone/>
          </a:pPr>
          <a:r>
            <a:rPr lang="en-US" sz="950" kern="1200">
              <a:solidFill>
                <a:sysClr val="windowText" lastClr="000000"/>
              </a:solidFill>
              <a:latin typeface="Calibri"/>
              <a:ea typeface="+mn-ea"/>
              <a:cs typeface="+mn-cs"/>
            </a:rPr>
            <a:t>Natural Resource Planning &amp; Management</a:t>
          </a:r>
        </a:p>
      </dsp:txBody>
      <dsp:txXfrm>
        <a:off x="1257471" y="26787"/>
        <a:ext cx="1093886" cy="437554"/>
      </dsp:txXfrm>
    </dsp:sp>
    <dsp:sp modelId="{053AC868-803A-4D6C-B292-4AE77B2FACF2}">
      <dsp:nvSpPr>
        <dsp:cNvPr id="0" name=""/>
        <dsp:cNvSpPr/>
      </dsp:nvSpPr>
      <dsp:spPr>
        <a:xfrm>
          <a:off x="1257471" y="464342"/>
          <a:ext cx="1093886" cy="3337920"/>
        </a:xfrm>
        <a:prstGeom prst="rect">
          <a:avLst/>
        </a:prstGeo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solidFill>
              <a:latin typeface="Calibri"/>
              <a:ea typeface="+mn-ea"/>
              <a:cs typeface="+mn-cs"/>
            </a:rPr>
            <a:t>Forest Planning</a:t>
          </a:r>
        </a:p>
        <a:p>
          <a:pPr marL="57150" lvl="1" indent="-57150" algn="l" defTabSz="400050">
            <a:lnSpc>
              <a:spcPct val="90000"/>
            </a:lnSpc>
            <a:spcBef>
              <a:spcPct val="0"/>
            </a:spcBef>
            <a:spcAft>
              <a:spcPct val="15000"/>
            </a:spcAft>
            <a:buChar char="•"/>
          </a:pPr>
          <a:r>
            <a:rPr lang="en-US" sz="900" kern="1200">
              <a:solidFill>
                <a:sysClr val="windowText" lastClr="000000"/>
              </a:solidFill>
              <a:latin typeface="Calibri"/>
              <a:ea typeface="+mn-ea"/>
              <a:cs typeface="+mn-cs"/>
            </a:rPr>
            <a:t>Large Landscape Conservation and Collaboration</a:t>
          </a:r>
        </a:p>
        <a:p>
          <a:pPr marL="57150" lvl="1" indent="-57150" algn="l" defTabSz="400050">
            <a:lnSpc>
              <a:spcPct val="90000"/>
            </a:lnSpc>
            <a:spcBef>
              <a:spcPct val="0"/>
            </a:spcBef>
            <a:spcAft>
              <a:spcPct val="15000"/>
            </a:spcAft>
            <a:buChar char="•"/>
          </a:pPr>
          <a:r>
            <a:rPr lang="en-US" sz="900" kern="1200">
              <a:solidFill>
                <a:sysClr val="windowText" lastClr="000000"/>
              </a:solidFill>
              <a:latin typeface="Calibri"/>
              <a:ea typeface="+mn-ea"/>
              <a:cs typeface="+mn-cs"/>
            </a:rPr>
            <a:t>Regional Infrastructure Development</a:t>
          </a:r>
        </a:p>
        <a:p>
          <a:pPr marL="57150" lvl="1" indent="-57150" algn="l" defTabSz="400050">
            <a:lnSpc>
              <a:spcPct val="90000"/>
            </a:lnSpc>
            <a:spcBef>
              <a:spcPct val="0"/>
            </a:spcBef>
            <a:spcAft>
              <a:spcPct val="15000"/>
            </a:spcAft>
            <a:buChar char="•"/>
          </a:pPr>
          <a:r>
            <a:rPr lang="en-US" sz="900" i="0" kern="1200">
              <a:solidFill>
                <a:sysClr val="windowText" lastClr="000000"/>
              </a:solidFill>
              <a:latin typeface="Calibri"/>
              <a:ea typeface="+mn-ea"/>
              <a:cs typeface="+mn-cs"/>
            </a:rPr>
            <a:t>Water Resources (e.g., storm water, groundwater permitting; water releases, quality, and security; flood risk assessment and recovery)</a:t>
          </a:r>
        </a:p>
      </dsp:txBody>
      <dsp:txXfrm>
        <a:off x="1257471" y="464342"/>
        <a:ext cx="1093886" cy="3337920"/>
      </dsp:txXfrm>
    </dsp:sp>
    <dsp:sp modelId="{5E1D52DD-5CEC-482A-865D-FCDA5BED832B}">
      <dsp:nvSpPr>
        <dsp:cNvPr id="0" name=""/>
        <dsp:cNvSpPr/>
      </dsp:nvSpPr>
      <dsp:spPr>
        <a:xfrm>
          <a:off x="2504502" y="26787"/>
          <a:ext cx="1093886" cy="437554"/>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22275">
            <a:lnSpc>
              <a:spcPct val="90000"/>
            </a:lnSpc>
            <a:spcBef>
              <a:spcPct val="0"/>
            </a:spcBef>
            <a:spcAft>
              <a:spcPct val="35000"/>
            </a:spcAft>
            <a:buNone/>
          </a:pPr>
          <a:r>
            <a:rPr lang="en-US" sz="950" kern="1200">
              <a:solidFill>
                <a:sysClr val="windowText" lastClr="000000"/>
              </a:solidFill>
              <a:latin typeface="Calibri"/>
              <a:ea typeface="+mn-ea"/>
              <a:cs typeface="+mn-cs"/>
            </a:rPr>
            <a:t>Regulatory &amp; Administrative Rule Actions</a:t>
          </a:r>
        </a:p>
      </dsp:txBody>
      <dsp:txXfrm>
        <a:off x="2504502" y="26787"/>
        <a:ext cx="1093886" cy="437554"/>
      </dsp:txXfrm>
    </dsp:sp>
    <dsp:sp modelId="{C9776F62-4C6C-456E-9129-67D9B8355173}">
      <dsp:nvSpPr>
        <dsp:cNvPr id="0" name=""/>
        <dsp:cNvSpPr/>
      </dsp:nvSpPr>
      <dsp:spPr>
        <a:xfrm>
          <a:off x="2504502" y="464342"/>
          <a:ext cx="1093886" cy="3337920"/>
        </a:xfrm>
        <a:prstGeom prst="rect">
          <a:avLst/>
        </a:prstGeo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Energy Development and Transmission, including Renewable Energy; Offshore Development</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Negotiated Rulemaking</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Compliance and Enforcement Actions</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Permitting Review</a:t>
          </a:r>
        </a:p>
      </dsp:txBody>
      <dsp:txXfrm>
        <a:off x="2504502" y="464342"/>
        <a:ext cx="1093886" cy="3337920"/>
      </dsp:txXfrm>
    </dsp:sp>
    <dsp:sp modelId="{60BD50C1-FD92-4B41-BECD-ED5801EF614C}">
      <dsp:nvSpPr>
        <dsp:cNvPr id="0" name=""/>
        <dsp:cNvSpPr/>
      </dsp:nvSpPr>
      <dsp:spPr>
        <a:xfrm>
          <a:off x="3751533" y="26787"/>
          <a:ext cx="1093886" cy="437554"/>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22275">
            <a:lnSpc>
              <a:spcPct val="90000"/>
            </a:lnSpc>
            <a:spcBef>
              <a:spcPct val="0"/>
            </a:spcBef>
            <a:spcAft>
              <a:spcPct val="35000"/>
            </a:spcAft>
            <a:buNone/>
          </a:pPr>
          <a:r>
            <a:rPr lang="en-US" sz="950" kern="1200">
              <a:solidFill>
                <a:sysClr val="windowText" lastClr="000000">
                  <a:hueOff val="0"/>
                  <a:satOff val="0"/>
                  <a:lumOff val="0"/>
                  <a:alphaOff val="0"/>
                </a:sysClr>
              </a:solidFill>
              <a:latin typeface="Calibri"/>
              <a:ea typeface="+mn-ea"/>
              <a:cs typeface="+mn-cs"/>
            </a:rPr>
            <a:t>Consultation &amp; Coordination</a:t>
          </a:r>
        </a:p>
      </dsp:txBody>
      <dsp:txXfrm>
        <a:off x="3751533" y="26787"/>
        <a:ext cx="1093886" cy="437554"/>
      </dsp:txXfrm>
    </dsp:sp>
    <dsp:sp modelId="{2EE83AC2-A8A0-4A4D-86D5-C10C912A5FBE}">
      <dsp:nvSpPr>
        <dsp:cNvPr id="0" name=""/>
        <dsp:cNvSpPr/>
      </dsp:nvSpPr>
      <dsp:spPr>
        <a:xfrm>
          <a:off x="3751533" y="464342"/>
          <a:ext cx="1093886" cy="3337920"/>
        </a:xfrm>
        <a:prstGeom prst="rect">
          <a:avLst/>
        </a:prstGeo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Tribal Consultation</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Joint Fact-Finding in Planning and Development</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Multi-Agency, Multi-Scope Issues</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Multi-Agency Programmatic Agreements</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Stakeholder &amp; Community Engagement</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Public Involvement</a:t>
          </a:r>
        </a:p>
      </dsp:txBody>
      <dsp:txXfrm>
        <a:off x="3751533" y="464342"/>
        <a:ext cx="1093886" cy="3337920"/>
      </dsp:txXfrm>
    </dsp:sp>
    <dsp:sp modelId="{C763F553-6C8E-4137-87FE-A65B6BED6DD1}">
      <dsp:nvSpPr>
        <dsp:cNvPr id="0" name=""/>
        <dsp:cNvSpPr/>
      </dsp:nvSpPr>
      <dsp:spPr>
        <a:xfrm>
          <a:off x="4998564" y="26787"/>
          <a:ext cx="1093886" cy="437554"/>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22275">
            <a:lnSpc>
              <a:spcPct val="90000"/>
            </a:lnSpc>
            <a:spcBef>
              <a:spcPct val="0"/>
            </a:spcBef>
            <a:spcAft>
              <a:spcPct val="35000"/>
            </a:spcAft>
            <a:buNone/>
          </a:pPr>
          <a:r>
            <a:rPr lang="en-US" sz="950" kern="1200">
              <a:solidFill>
                <a:sysClr val="windowText" lastClr="000000"/>
              </a:solidFill>
              <a:latin typeface="Calibri"/>
              <a:ea typeface="+mn-ea"/>
              <a:cs typeface="+mn-cs"/>
            </a:rPr>
            <a:t>Broad Environmental &amp; Social Issues</a:t>
          </a:r>
        </a:p>
      </dsp:txBody>
      <dsp:txXfrm>
        <a:off x="4998564" y="26787"/>
        <a:ext cx="1093886" cy="437554"/>
      </dsp:txXfrm>
    </dsp:sp>
    <dsp:sp modelId="{C21D8156-218F-4C0E-AC6D-B0A0BD6EFBA2}">
      <dsp:nvSpPr>
        <dsp:cNvPr id="0" name=""/>
        <dsp:cNvSpPr/>
      </dsp:nvSpPr>
      <dsp:spPr>
        <a:xfrm>
          <a:off x="4998564" y="464342"/>
          <a:ext cx="1093886" cy="3337920"/>
        </a:xfrm>
        <a:prstGeom prst="rect">
          <a:avLst/>
        </a:prstGeom>
        <a:solidFill>
          <a:sysClr val="window" lastClr="FFFFFF">
            <a:alpha val="90000"/>
            <a:tint val="40000"/>
            <a:hueOff val="0"/>
            <a:satOff val="0"/>
            <a:lumOff val="0"/>
            <a:alphaOff val="0"/>
          </a:sysClr>
        </a:solidFill>
        <a:ln w="12700" cap="flat" cmpd="sng" algn="ctr">
          <a:solidFill>
            <a:srgbClr val="5B9BD5">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Environmental Justice</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Climate Change</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Water Security</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Energy Development</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Endangered/critical species</a:t>
          </a:r>
        </a:p>
      </dsp:txBody>
      <dsp:txXfrm>
        <a:off x="4998564" y="464342"/>
        <a:ext cx="1093886" cy="333792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156F8-3102-4942-85E7-6DCF2375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15</Pages>
  <Words>5306</Words>
  <Characters>30246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FY14 ECCR Synthesis Report</vt:lpstr>
    </vt:vector>
  </TitlesOfParts>
  <Company>EOP</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FY14 ECCR Synthesis Report</dc:title>
  <dc:creator>peterwilliams@udall.gov</dc:creator>
  <cp:lastModifiedBy>Stephanie Kavanaugh</cp:lastModifiedBy>
  <cp:revision>16</cp:revision>
  <cp:lastPrinted>2017-12-07T19:13:00Z</cp:lastPrinted>
  <dcterms:created xsi:type="dcterms:W3CDTF">2017-12-07T16:11:00Z</dcterms:created>
  <dcterms:modified xsi:type="dcterms:W3CDTF">2017-12-07T19:14:00Z</dcterms:modified>
</cp:coreProperties>
</file>